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92026_010821.xml.htm"/>
      <w:bookmarkStart w:id="1" w:name="ksform408192026_0108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Forbes Alexandria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655 THIRD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MeiraGTx Holdings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MGTX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4"/>
        <w:gridCol w:w="901"/>
        <w:gridCol w:w="771"/>
        <w:gridCol w:w="598"/>
        <w:gridCol w:w="345"/>
        <w:gridCol w:w="921"/>
        <w:gridCol w:w="445"/>
        <w:gridCol w:w="792"/>
        <w:gridCol w:w="1266"/>
        <w:gridCol w:w="985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62,000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1,325,695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November 18,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reflects the weighted average sales price. The shares were sold in multiple transactions at prices ranging from $13.59 to $14.00, inclusive.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reporting person undertakes to provide to the SEC staff, the issuer, or a security holder of the issuer, upon request, full information regarding the number of shares sold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Richard Giroux, Attorney-in-Fact for Alexandria Forbes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78604" TargetMode="External"/><Relationship Id="rId5" Type="http://schemas.openxmlformats.org/officeDocument/2006/relationships/hyperlink" Target="http://www.sec.gov/cgi-bin/browse-edgar?action=getcompany&amp;CIK=00017354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652</Words>
  <Characters>3530</Characters>
  <CharactersWithSpaces>4112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