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MeiraGTx Holdings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$0.00003881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Rubric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9,100,000.00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Rosen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9,100,000.00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MeiraGTx Holdings plc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655 Third Avenue, Suite 1115,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Rubric Capital Management LP ("Rubric Capital"), the investment adviser to certain investment funds and/or accounts (collectively, the "Rubric Funds") that hold the shares of Ordinary Shares, $0.00003881 par value (the "Ordinary Shares") of MeiraGTx Holdings plc, a Cayman Islands exempted company (the "Issuer") reported herein; and (ii) David Rosen ("Mr. Rosen"), Managing Member of Rubric Capital Management GP LLC, the general partner of Rubric Capital. The foregoing persons are hereinafter sometimes collectively referred to as the "Reporting Persons." The filing of this statement should not be construed as an admission that any of the forgoing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155 East 44th St, Suite 1630,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Rubric Capital is a Delaware limited partnership. Mr. Rosen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$0.00003881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9 of the cover page for each of the Reporting Persons and is incorporated herein by reference. The percentage set forth in Row (11) of the cover page for each of the Reporting Persons and in Item 4(b) is based on 92,609,516 Ordinary Shares outstanding as of May 8, 2026, as reported in the Issuer's Quarterly Report on Form 10-Q for the quarterly period ended March 31, 2026 filed with the Securities and Exchange Commission on May 14, 2026.</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9.83  %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Rubric Capital Master Fund LP, a Rubric Fund, has the right to receive or the power to direct the receipt of dividends from, or the proceeds from the sale of, more than 5% of the Ordinary Shares.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Rubric Capital Management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Michael Nachmani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Michael Nachmani / Chief Operating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David Rosen</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David Rosen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David Rosen / Individually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1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1348</Words>
  <Characters>6790</Characters>
  <CharactersWithSpaces>8108</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