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2026</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MeiraGTx Holdings plc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9019"/>
          </w:cols>
          <w:pgMar w:left="1440" w:top="837" w:right="1440" w:bottom="1440" w:gutter="0" w:footer="0" w:header="0"/>
        </w:sectPr>
      </w:pPr>
    </w:p>
    <w:p>
      <w:pPr>
        <w:spacing w:after="0" w:line="159"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001-38520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98-1448305</w:t>
      </w:r>
    </w:p>
    <w:p>
      <w:pPr>
        <w:spacing w:after="0" w:line="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 w:lineRule="exact"/>
        <w:rPr>
          <w:sz w:val="24"/>
          <w:szCs w:val="24"/>
          <w:color w:val="auto"/>
        </w:rPr>
      </w:pPr>
    </w:p>
    <w:p>
      <w:pPr>
        <w:sectPr>
          <w:pgSz w:w="11900" w:h="16838" w:orient="portrait"/>
          <w:cols w:equalWidth="0" w:num="5">
            <w:col w:w="2800" w:space="180"/>
            <w:col w:w="100" w:space="620"/>
            <w:col w:w="1600" w:space="700"/>
            <w:col w:w="100" w:space="380"/>
            <w:col w:w="2539"/>
          </w:cols>
          <w:pgMar w:left="1440" w:top="837" w:right="1440" w:bottom="1440" w:gutter="0" w:footer="0" w:header="0"/>
          <w:type w:val="continuous"/>
        </w:sectPr>
      </w:pPr>
    </w:p>
    <w:p>
      <w:pPr>
        <w:ind w:left="1100"/>
        <w:spacing w:after="0" w:line="238" w:lineRule="auto"/>
        <w:rPr>
          <w:sz w:val="20"/>
          <w:szCs w:val="20"/>
          <w:color w:val="auto"/>
        </w:rPr>
      </w:pPr>
      <w:r>
        <w:rPr>
          <w:rFonts w:ascii="Times New Roman" w:cs="Times New Roman" w:eastAsia="Times New Roman" w:hAnsi="Times New Roman"/>
          <w:sz w:val="14"/>
          <w:szCs w:val="14"/>
          <w:color w:val="auto"/>
        </w:rPr>
        <w:t>organization)</w:t>
      </w:r>
    </w:p>
    <w:p>
      <w:pPr>
        <w:sectPr>
          <w:pgSz w:w="11900" w:h="16838" w:orient="portrait"/>
          <w:cols w:equalWidth="0" w:num="1">
            <w:col w:w="9019"/>
          </w:cols>
          <w:pgMar w:left="1440" w:top="837" w:right="1440" w:bottom="1440" w:gutter="0" w:footer="0" w:header="0"/>
          <w:type w:val="continuous"/>
        </w:sectPr>
      </w:pPr>
    </w:p>
    <w:p>
      <w:pPr>
        <w:spacing w:after="0" w:line="8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655 Third Avenue, Suite 1115</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860-7985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260" w:hanging="20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0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0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40" w:right="719" w:hanging="184"/>
        <w:spacing w:after="0" w:line="387" w:lineRule="auto"/>
        <w:tabs>
          <w:tab w:leader="none" w:pos="2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50"/>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60" w:type="dxa"/>
            <w:vAlign w:val="bottom"/>
            <w:vMerge w:val="continue"/>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Ordinary Shares, $0.00003881 par</w:t>
            </w:r>
          </w:p>
        </w:tc>
        <w:tc>
          <w:tcPr>
            <w:tcW w:w="180" w:type="dxa"/>
            <w:vAlign w:val="bottom"/>
          </w:tcPr>
          <w:p>
            <w:pPr>
              <w:spacing w:after="0"/>
              <w:rPr>
                <w:sz w:val="16"/>
                <w:szCs w:val="16"/>
                <w:color w:val="auto"/>
              </w:rPr>
            </w:pPr>
          </w:p>
        </w:tc>
        <w:tc>
          <w:tcPr>
            <w:tcW w:w="2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MGTX</w:t>
            </w:r>
          </w:p>
        </w:tc>
        <w:tc>
          <w:tcPr>
            <w:tcW w:w="160" w:type="dxa"/>
            <w:vAlign w:val="bottom"/>
          </w:tcPr>
          <w:p>
            <w:pPr>
              <w:spacing w:after="0"/>
              <w:rPr>
                <w:sz w:val="16"/>
                <w:szCs w:val="16"/>
                <w:color w:val="auto"/>
              </w:rPr>
            </w:pPr>
          </w:p>
        </w:tc>
        <w:tc>
          <w:tcPr>
            <w:tcW w:w="3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r>
        <w:trPr>
          <w:trHeight w:val="23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59690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type w:val="continuous"/>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May 14, 2026, MeiraGTx Holdings plc (the “Company”) issued a press release announcing its financial results for the quarter ended March 31, 2026. The full text of the press release is furnished as Exhibit 99.1 to this Current Report on Form 8-K and is incorporated herein by reference.</w:t>
      </w:r>
    </w:p>
    <w:p>
      <w:pPr>
        <w:spacing w:after="0" w:line="1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7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40" w:hanging="642"/>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448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MeiraGTx Holdings plc, dated May 14, 2026.</w:t>
            </w:r>
          </w:p>
        </w:tc>
        <w:tc>
          <w:tcPr>
            <w:tcW w:w="334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1140" w:hanging="10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MEIRAGTX HOLDINGS PLC</w:t>
      </w:r>
    </w:p>
    <w:p>
      <w:pPr>
        <w:spacing w:after="0" w:line="225" w:lineRule="exact"/>
        <w:rPr>
          <w:sz w:val="20"/>
          <w:szCs w:val="20"/>
          <w:color w:val="auto"/>
        </w:rPr>
      </w:pPr>
    </w:p>
    <w:p>
      <w:pPr>
        <w:ind w:left="4020"/>
        <w:spacing w:after="0"/>
        <w:tabs>
          <w:tab w:leader="none" w:pos="4480" w:val="left"/>
        </w:tabs>
        <w:rPr>
          <w:sz w:val="20"/>
          <w:szCs w:val="20"/>
          <w:color w:val="auto"/>
        </w:rPr>
      </w:pPr>
      <w:r>
        <w:rPr>
          <w:rFonts w:ascii="Times New Roman" w:cs="Times New Roman" w:eastAsia="Times New Roman" w:hAnsi="Times New Roman"/>
          <w:sz w:val="18"/>
          <w:szCs w:val="18"/>
          <w:color w:val="auto"/>
        </w:rPr>
        <w:t>By:</w:t>
        <w:tab/>
        <w:t>/s/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Name:Richard Giroux</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127698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MeiraGTx Reports First Quarter 2026 Financial and Operational Results</w:t>
      </w:r>
    </w:p>
    <w:p>
      <w:pPr>
        <w:spacing w:after="0" w:line="227" w:lineRule="exact"/>
        <w:rPr>
          <w:sz w:val="20"/>
          <w:szCs w:val="20"/>
          <w:color w:val="auto"/>
        </w:rPr>
      </w:pPr>
    </w:p>
    <w:p>
      <w:pPr>
        <w:ind w:left="2200" w:hanging="330"/>
        <w:spacing w:after="0"/>
        <w:tabs>
          <w:tab w:leader="none" w:pos="22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Received FDA Breakthrough Therapy Designation for AAV2-hAQP1</w:t>
      </w:r>
    </w:p>
    <w:p>
      <w:pPr>
        <w:spacing w:after="0" w:line="225" w:lineRule="exact"/>
        <w:rPr>
          <w:rFonts w:ascii="Times New Roman" w:cs="Times New Roman" w:eastAsia="Times New Roman" w:hAnsi="Times New Roman"/>
          <w:sz w:val="18"/>
          <w:szCs w:val="18"/>
          <w:color w:val="auto"/>
        </w:rPr>
      </w:pPr>
    </w:p>
    <w:p>
      <w:pPr>
        <w:jc w:val="center"/>
        <w:ind w:left="3440" w:right="139" w:hanging="3311"/>
        <w:spacing w:after="0" w:line="284" w:lineRule="auto"/>
        <w:tabs>
          <w:tab w:leader="none" w:pos="4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positive three-year data from the Phase 1 AQUAx study of AAV2-hAQP1 for the treatment of grade 2/3 late radiation-induced xerostomia</w:t>
      </w:r>
    </w:p>
    <w:p>
      <w:pPr>
        <w:spacing w:after="0" w:line="158" w:lineRule="exact"/>
        <w:rPr>
          <w:rFonts w:ascii="Times New Roman" w:cs="Times New Roman" w:eastAsia="Times New Roman" w:hAnsi="Times New Roman"/>
          <w:sz w:val="18"/>
          <w:szCs w:val="18"/>
          <w:color w:val="auto"/>
        </w:rPr>
      </w:pPr>
    </w:p>
    <w:p>
      <w:pPr>
        <w:ind w:left="1500" w:right="259" w:hanging="1251"/>
        <w:spacing w:after="0" w:line="284" w:lineRule="auto"/>
        <w:tabs>
          <w:tab w:leader="none" w:pos="5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Entered into an asset purchase agreement with Johnson &amp; Johnson* (J&amp;J) to acquire all interests in botaretigene sparoparvovec (bota-vec) for the treatment of X-linked retinitis pigmentosa (XLRP)</w:t>
      </w:r>
    </w:p>
    <w:p>
      <w:pPr>
        <w:spacing w:after="0" w:line="158" w:lineRule="exact"/>
        <w:rPr>
          <w:sz w:val="20"/>
          <w:szCs w:val="20"/>
          <w:color w:val="auto"/>
        </w:rPr>
      </w:pPr>
    </w:p>
    <w:p>
      <w:pPr>
        <w:ind w:left="2660" w:hanging="324"/>
        <w:spacing w:after="0"/>
        <w:tabs>
          <w:tab w:leader="none" w:pos="2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Strengthened balance sheet with $100 million financing</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LONDON and NEW YORK, May 14, 2026 (GLOBE NEWSWIRE) -- MeiraGTx Holdings plc (Nasdaq: MGTX), a vertically integrated, clinical stage genetic medicines company, today announced financial and operational results for the first quarter ended March 31, 2026, and provided a corporate update.</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achievements in the first few months of 2026 have materially strengthened MeiraGTx – we are now in a position to file for potential approval and launch two wholly-owned therapies in the next 2 years,” said Alexandria Forbes, Ph.D., president and chief executive officer of MeiraGTx. “The compelling three-year durability data from our AAV2-hAQP1 Phase 1 study continue to demonstrate disease-modifying benefit following a simple one-time treatment of patients with moderate to severe persistent radiation-induced xerostomia, an otherwise debilitating life-long condition. The recent receipt of Breakthrough Therapy Designation for this program reinforces the strength of the data and the potential for an expedited development and regulatory pathway.”</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Dr. Forbes continued, “We are very excited to have re-acquired bota-vec for the treatment of X-linked retinitis pigmentosa (XLRP). This is a highly strategic addition to our pipeline, given our long-term experience developing this drug while partnered with J&amp;J, our deep expertise in ophthalmology, and our long-standing relationships with the inherited retinal disease patient community and KOL networks globally. Data from the Phase 3 LUMEOS study of bota-vec highlight the potential of this therapy to improve vision and significantly change the lives of those suffering with this otherwise inexorably degenerative disease. We are now working expeditiously to complete regulatory submissions in the U.S., EU, UK and Japan.”</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“To that end, I am extremely pleased to announce that Penny Fleck has joined MeiraGTx as Chief Development Officer,” said Dr. Forbes. “Penny brings tremendous experience from her 20+ years at J&amp;J and Takeda leading development of many assets, including multiple global regulatory approvals. Importantly, while at J&amp;J as Global Head of Specialty Ophthalmology, Penny worked closely with MeiraGTx on the development of bota-vec, from the licensing of the drug by J&amp;J through Phase 3. Her extensive experience and broad expertise across drug development will help us achieve the potential approvals of bota-vec and AAV2-hAQP1,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337820</wp:posOffset>
            </wp:positionV>
            <wp:extent cx="127698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as progress our early stage programs such as Ribo-Leptin into the clinic and through development. Stuart Naylor, Ph.D. will be taking on a new role with the Company as Chief Scientific Officer, Ophthalmology. Stuart is a founder of MeiraGTx and led the incorporation of the UCL ophthalmology assets into the Company, including AAV-RPGR. He has experience with this therapy from pre-clinical through Phase 3 and he will be focusing his efforts on obtaining global regulatory approval of bota-vec as well as advancing our ophthalmology product candidates at all stages of development.”</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*Janssen Pharmaceuticals, Inc., a Johnson &amp; Johnson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Highlights</w:t>
      </w:r>
    </w:p>
    <w:p>
      <w:pPr>
        <w:spacing w:after="0" w:line="225" w:lineRule="exact"/>
        <w:rPr>
          <w:sz w:val="20"/>
          <w:szCs w:val="20"/>
          <w:color w:val="auto"/>
        </w:rPr>
      </w:pPr>
    </w:p>
    <w:p>
      <w:pPr>
        <w:ind w:left="60" w:right="179"/>
        <w:spacing w:after="0" w:line="263" w:lineRule="auto"/>
        <w:rPr>
          <w:sz w:val="20"/>
          <w:szCs w:val="20"/>
          <w:color w:val="auto"/>
        </w:rPr>
      </w:pPr>
      <w:r>
        <w:rPr>
          <w:rFonts w:ascii="Times New Roman" w:cs="Times New Roman" w:eastAsia="Times New Roman" w:hAnsi="Times New Roman"/>
          <w:sz w:val="18"/>
          <w:szCs w:val="18"/>
          <w:b w:val="1"/>
          <w:bCs w:val="1"/>
          <w:color w:val="auto"/>
        </w:rPr>
        <w:t>Strategic Acquisition of Botaretigene Sparoparvovec (bota-vec) for the Treatment of X-linked Retinitis Pigmentosa (XLRP):</w:t>
      </w:r>
    </w:p>
    <w:p>
      <w:pPr>
        <w:spacing w:after="0" w:line="1" w:lineRule="exact"/>
        <w:rPr>
          <w:sz w:val="20"/>
          <w:szCs w:val="20"/>
          <w:color w:val="auto"/>
        </w:rPr>
      </w:pPr>
    </w:p>
    <w:p>
      <w:pPr>
        <w:ind w:left="700" w:right="239" w:hanging="326"/>
        <w:spacing w:after="0" w:line="250"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entered into an asset purchase agreement with Johnson &amp; Johnson in April 2026 to acquire full rights to bota-vec, a late-stage therapy for the treatment of X-linked retinitis pigmentosa (XLRP).</w:t>
      </w:r>
    </w:p>
    <w:p>
      <w:pPr>
        <w:jc w:val="both"/>
        <w:ind w:left="700" w:right="259" w:hanging="326"/>
        <w:spacing w:after="0" w:line="250"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paid J&amp;J a one-time $25 million upfront cash consideration, and J&amp;J is eligible to receive a one-time regulatory and commercial milestone tied to U.S. approval and U.S. sales performance of bota-vec, as well as a mid-teens royalty on global net sales starting in mid-2029.</w:t>
      </w:r>
    </w:p>
    <w:p>
      <w:pPr>
        <w:spacing w:after="0" w:line="1" w:lineRule="exact"/>
        <w:rPr>
          <w:rFonts w:ascii="Times New Roman" w:cs="Times New Roman" w:eastAsia="Times New Roman" w:hAnsi="Times New Roman"/>
          <w:sz w:val="18"/>
          <w:szCs w:val="18"/>
          <w:color w:val="auto"/>
        </w:rPr>
      </w:pPr>
    </w:p>
    <w:p>
      <w:pPr>
        <w:ind w:left="700" w:right="99" w:hanging="326"/>
        <w:spacing w:after="0" w:line="290" w:lineRule="auto"/>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plans to rapidly advance the program toward global regulatory filings in the U.S., Europe, UK and Japan, leveraging its prior involvement in the program’s development and its established manufacturing readiness.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Bota-vec for the Treatment of X-linked Retinitis Pigmentosa (XLRP):</w:t>
      </w:r>
    </w:p>
    <w:p>
      <w:pPr>
        <w:spacing w:after="0" w:line="31" w:lineRule="exact"/>
        <w:rPr>
          <w:sz w:val="20"/>
          <w:szCs w:val="20"/>
          <w:color w:val="auto"/>
        </w:rPr>
      </w:pPr>
    </w:p>
    <w:p>
      <w:pPr>
        <w:ind w:left="700" w:right="79" w:hanging="326"/>
        <w:spacing w:after="0" w:line="25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XLRP is a rare inherited retinal disease with early onset and progressive degeneration to complete blindness in the third decade of life. There are currently no treatment options.</w:t>
      </w: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&gt;20,000 XLRP-RPGR patients in the U.S. and EU.</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LUMEOS study was a global randomized study (n=95). All patients were treated bilaterally.</w:t>
      </w:r>
    </w:p>
    <w:p>
      <w:pPr>
        <w:spacing w:after="0" w:line="9" w:lineRule="exact"/>
        <w:rPr>
          <w:rFonts w:ascii="Times New Roman" w:cs="Times New Roman" w:eastAsia="Times New Roman" w:hAnsi="Times New Roman"/>
          <w:sz w:val="18"/>
          <w:szCs w:val="18"/>
          <w:color w:val="auto"/>
        </w:rPr>
      </w:pPr>
    </w:p>
    <w:p>
      <w:pPr>
        <w:ind w:left="700" w:right="439" w:hanging="326"/>
        <w:spacing w:after="0" w:line="25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Phase 3 LUMEOS trial of bota-vec for the treatment of XLRP was presented at the Foundation Fighting Blindness 2025 Retinal Therapeutics Innovation Summit.</w:t>
      </w:r>
    </w:p>
    <w:p>
      <w:pPr>
        <w:ind w:left="700" w:right="219" w:hanging="326"/>
        <w:spacing w:after="0" w:line="25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of bota-vec was as expected and manageable, with no new safety signals in the Phase 3 study with improved inflammatory profile compared to the Phase 1/2 study.</w:t>
      </w:r>
    </w:p>
    <w:p>
      <w:pPr>
        <w:ind w:left="700" w:right="399" w:hanging="326"/>
        <w:spacing w:after="0" w:line="265" w:lineRule="auto"/>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commercial manufacturer of bota-vec, MeiraGTx has successfully completed process performance qualification (PPQ). The Company has a commercial license from the UK Medicines and Healthcare products Regulatory Agency (MHRA) for its London manufacturing facility, as well as a commercial license for the Company’s QC facility in Shannon, Ireland where release and stability assays for the product are conducted.</w:t>
      </w: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is now working to complete regulatory submissions in the U.S., EU, UK and Japan.</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(FDA) has granted Fast Track and Orphan Drug Designations to bota-vec, and the regulatory authorities in the EU have granted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337185</wp:posOffset>
            </wp:positionV>
            <wp:extent cx="127698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Medicines, or PRIME, advanced therapy medicinal product, or ATMP, and Orphan Drug Designations to bota-vec.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and Technology Programs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AAV2-hAQP1 for the Treatment of Radiation-Induced Xerostomia:</w:t>
      </w:r>
    </w:p>
    <w:p>
      <w:pPr>
        <w:spacing w:after="0" w:line="31" w:lineRule="exact"/>
        <w:rPr>
          <w:sz w:val="20"/>
          <w:szCs w:val="20"/>
          <w:color w:val="auto"/>
        </w:rPr>
      </w:pPr>
    </w:p>
    <w:p>
      <w:pPr>
        <w:ind w:left="700" w:right="699" w:hanging="326"/>
        <w:spacing w:after="0" w:line="26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2026, MeiraGTx reported positive three-year data from its Phase 1 AQUAx clinical trial (n=24) evaluating AAV2-hAQP1 for the treatment of moderate to severe grade 2/3 radiation-induced xerostomia.</w:t>
      </w:r>
    </w:p>
    <w:p>
      <w:pPr>
        <w:ind w:left="700" w:right="419" w:hanging="326"/>
        <w:spacing w:after="0" w:line="250"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demonstrated sustained, clinically meaningful improvements in both patient-reported outcomes and objective measures of salivary flow, with durable effects maintained from 12 months through 36 months post-treatment.</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AAV2-hAQP1 continued to be safe and well-tolerated at each dose tested.</w:t>
      </w:r>
    </w:p>
    <w:p>
      <w:pPr>
        <w:spacing w:after="0" w:line="9" w:lineRule="exact"/>
        <w:rPr>
          <w:rFonts w:ascii="Times New Roman" w:cs="Times New Roman" w:eastAsia="Times New Roman" w:hAnsi="Times New Roman"/>
          <w:sz w:val="18"/>
          <w:szCs w:val="18"/>
          <w:color w:val="auto"/>
        </w:rPr>
      </w:pPr>
    </w:p>
    <w:p>
      <w:pPr>
        <w:ind w:left="700" w:right="199" w:hanging="326"/>
        <w:spacing w:after="0" w:line="250"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were presented on April 16, and a replay is available on the Investors page of the Company’s website at investors.meiragtx.com.</w:t>
      </w:r>
    </w:p>
    <w:p>
      <w:pPr>
        <w:ind w:left="700" w:right="199" w:hanging="326"/>
        <w:spacing w:after="0" w:line="250"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findings provide strong clinical validation of the Company’s salivary gland gene therapy platform and support continued advancement of this treatment not only in the pivotal AQUAx2 study, but also development in additional conditions where dry mouth is a significant patient burden.</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AQUAx2 (NCT05926765) randomized, double-blind, placebo-controlled study at 30 sites in the</w:t>
      </w:r>
    </w:p>
    <w:p>
      <w:pPr>
        <w:spacing w:after="0" w:line="9" w:lineRule="exact"/>
        <w:rPr>
          <w:sz w:val="20"/>
          <w:szCs w:val="20"/>
          <w:color w:val="auto"/>
        </w:rPr>
      </w:pPr>
    </w:p>
    <w:p>
      <w:pPr>
        <w:ind w:left="700" w:right="79"/>
        <w:spacing w:after="0" w:line="250" w:lineRule="auto"/>
        <w:rPr>
          <w:sz w:val="20"/>
          <w:szCs w:val="20"/>
          <w:color w:val="auto"/>
        </w:rPr>
      </w:pPr>
      <w:r>
        <w:rPr>
          <w:rFonts w:ascii="Times New Roman" w:cs="Times New Roman" w:eastAsia="Times New Roman" w:hAnsi="Times New Roman"/>
          <w:sz w:val="18"/>
          <w:szCs w:val="18"/>
          <w:color w:val="auto"/>
        </w:rPr>
        <w:t>U.S., Canada and the U.K. is closing this month with the 12-month pivotal data readout on track for the second quarter of 2027 which, if positive, would support a BLA filing and potential approval targeted for the end of 2027, with U.S. launch early in 2028.</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FDA Breakthrough Therapy Designation (BTD) for AAV2-hAQP1:</w:t>
      </w:r>
    </w:p>
    <w:p>
      <w:pPr>
        <w:spacing w:after="0" w:line="9" w:lineRule="exact"/>
        <w:rPr>
          <w:sz w:val="20"/>
          <w:szCs w:val="20"/>
          <w:color w:val="auto"/>
        </w:rPr>
      </w:pPr>
    </w:p>
    <w:p>
      <w:pPr>
        <w:ind w:left="1020" w:right="279" w:hanging="322"/>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granted BTD to AAV2-hAQP1 for the treatment of grade 2 and grade 3 radiation-induced xerostomia caused by radiotherapy for cancers of the upper aerodigestive tract in March 2026.</w:t>
      </w:r>
    </w:p>
    <w:p>
      <w:pPr>
        <w:spacing w:after="0" w:line="1" w:lineRule="exact"/>
        <w:rPr>
          <w:rFonts w:ascii="Times New Roman" w:cs="Times New Roman" w:eastAsia="Times New Roman" w:hAnsi="Times New Roman"/>
          <w:sz w:val="18"/>
          <w:szCs w:val="18"/>
          <w:color w:val="auto"/>
        </w:rPr>
      </w:pPr>
    </w:p>
    <w:p>
      <w:pPr>
        <w:ind w:left="1020" w:right="659" w:hanging="322"/>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was supported by 3-year data from the 24 patient Phase 1 AQUAx study in long term moderate to severe radiation induced xerostomia.</w:t>
      </w:r>
    </w:p>
    <w:p>
      <w:pPr>
        <w:ind w:left="1020" w:right="659" w:hanging="322"/>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BTD is for serious or life-threatening conditions and enables enhanced engagement with the FDA and potential for priority review.</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AAV-GAD for the Treatment of Parkinson’s Disease:</w:t>
      </w:r>
    </w:p>
    <w:p>
      <w:pPr>
        <w:spacing w:after="0" w:line="31" w:lineRule="exact"/>
        <w:rPr>
          <w:sz w:val="20"/>
          <w:szCs w:val="20"/>
          <w:color w:val="auto"/>
        </w:rPr>
      </w:pPr>
    </w:p>
    <w:p>
      <w:pPr>
        <w:ind w:left="700" w:right="23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granted Regenerative Medicine Advanced Therapy (RMAT) designation to AAV-GAD for the treatment of Parkinson’s disease not adequately controlled with medication in 2025.</w:t>
      </w:r>
    </w:p>
    <w:p>
      <w:pPr>
        <w:jc w:val="both"/>
        <w:ind w:left="700" w:right="29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RMAT was awarded based on data demonstrating statistically significant efficacy in 2 double-blind sham-surgery controlled studies, a Phase 2 study (n=45), and a Phase 1/2 clinical bridging study (n=14) following the successful Phase 1 dose escalation study (n=14).</w:t>
      </w:r>
    </w:p>
    <w:p>
      <w:pPr>
        <w:spacing w:after="0" w:line="1" w:lineRule="exact"/>
        <w:rPr>
          <w:rFonts w:ascii="Times New Roman" w:cs="Times New Roman" w:eastAsia="Times New Roman" w:hAnsi="Times New Roman"/>
          <w:sz w:val="18"/>
          <w:szCs w:val="18"/>
          <w:color w:val="auto"/>
        </w:rPr>
      </w:pPr>
    </w:p>
    <w:p>
      <w:pPr>
        <w:ind w:left="700" w:right="39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application also included the use of novel AI developed by our JV partner, Hologen, which demonstrated potential disease modification resulting from treatment.</w:t>
      </w:r>
    </w:p>
    <w:p>
      <w:pPr>
        <w:ind w:left="700" w:right="339" w:hanging="326"/>
        <w:spacing w:after="0" w:line="26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engaging with clinical trial sites globally and expects to initiate the Phase 3 study of AAV-GAD in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607060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337185</wp:posOffset>
            </wp:positionV>
            <wp:extent cx="127698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color w:val="auto"/>
        </w:rPr>
        <w:t>AAV-AIPL1 for LCA4:</w:t>
      </w:r>
    </w:p>
    <w:p>
      <w:pPr>
        <w:spacing w:after="0" w:line="31" w:lineRule="exact"/>
        <w:rPr>
          <w:sz w:val="20"/>
          <w:szCs w:val="20"/>
          <w:color w:val="auto"/>
        </w:rPr>
      </w:pPr>
    </w:p>
    <w:p>
      <w:pPr>
        <w:ind w:left="700" w:right="11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entered into a strategic collaboration with Lilly, granting Lilly worldwide exclusive rights to meduretgene parvec, or medu-vec (formerly referred to as AAV-AIPL1) program for Leber congenial amaurosis 4 (LCA4).</w:t>
      </w:r>
    </w:p>
    <w:p>
      <w:pPr>
        <w:spacing w:after="0" w:line="1" w:lineRule="exact"/>
        <w:rPr>
          <w:rFonts w:ascii="Times New Roman" w:cs="Times New Roman" w:eastAsia="Times New Roman" w:hAnsi="Times New Roman"/>
          <w:sz w:val="18"/>
          <w:szCs w:val="18"/>
          <w:color w:val="auto"/>
        </w:rPr>
      </w:pPr>
    </w:p>
    <w:p>
      <w:pPr>
        <w:ind w:left="700" w:right="15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agreement, Lilly also received worldwide exclusive access rights to MeiraGTx’s innovative gene therapy technologies for use in ophthalmology with certain targets designated by Lilly, including novel intravitreal capsids developed in-house at MeiraGTx and bespoke promoters including AI-generated cell specific promoters.</w:t>
      </w:r>
    </w:p>
    <w:p>
      <w:pPr>
        <w:spacing w:after="0" w:line="1"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also granted Lilly certain rights to its proprietary riboswitch technology for use in gene editing in the eye.</w:t>
      </w:r>
    </w:p>
    <w:p>
      <w:pPr>
        <w:ind w:left="700" w:right="699" w:hanging="326"/>
        <w:spacing w:after="0" w:line="26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received an upfront payment of $75 million and is eligible to receive over $400 million in total milestone payments. MeiraGTx is also eligible to receive tiered royalties on licensed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Riboswitch Gene Regulation Technology Platform for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Delivery:</w:t>
      </w:r>
    </w:p>
    <w:p>
      <w:pPr>
        <w:spacing w:after="0" w:line="31" w:lineRule="exact"/>
        <w:rPr>
          <w:sz w:val="20"/>
          <w:szCs w:val="20"/>
          <w:color w:val="auto"/>
        </w:rPr>
      </w:pPr>
    </w:p>
    <w:p>
      <w:pPr>
        <w:ind w:left="700" w:right="41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Riboswitch technology is a powerful platform that transforms the potential of biologic therapeutics by providing a broadly applicable mechanism for the precise dosing of any protein, hormone or peptide that is encoded by DNA via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production in direct dose response to bespoke oral small molecule inducers.</w:t>
      </w:r>
    </w:p>
    <w:p>
      <w:pPr>
        <w:spacing w:after="0" w:line="1" w:lineRule="exact"/>
        <w:rPr>
          <w:rFonts w:ascii="Times New Roman" w:cs="Times New Roman" w:eastAsia="Times New Roman" w:hAnsi="Times New Roman"/>
          <w:sz w:val="18"/>
          <w:szCs w:val="18"/>
          <w:color w:val="auto"/>
        </w:rPr>
      </w:pPr>
    </w:p>
    <w:p>
      <w:pPr>
        <w:ind w:left="700" w:right="11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MeiraGTx is progressing its first riboswitch program into the clinic in metabolic disease with native human leptin (Ribo-Leptin).</w:t>
      </w:r>
    </w:p>
    <w:p>
      <w:pPr>
        <w:ind w:left="700" w:hanging="326"/>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iterative discussion with the FDA to open a Ribo-Leptin IND later this year.</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also in IND enabling studies for a second riboswitch regulated vector for neuropathic pain.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Strengthened Balance Sheet with $100 Million Financing:</w:t>
      </w:r>
    </w:p>
    <w:p>
      <w:pPr>
        <w:spacing w:after="0" w:line="31" w:lineRule="exact"/>
        <w:rPr>
          <w:sz w:val="20"/>
          <w:szCs w:val="20"/>
          <w:color w:val="auto"/>
        </w:rPr>
      </w:pPr>
    </w:p>
    <w:p>
      <w:pPr>
        <w:ind w:left="700" w:right="99" w:hanging="326"/>
        <w:spacing w:after="0" w:line="260"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MeiraGTx announced the pricing of an underwritten offering of 11,111,111 of its ordinary shares at an offering price of $9.00 per share, generating gross proceeds of approximately $100 million.</w:t>
      </w:r>
    </w:p>
    <w:p>
      <w:pPr>
        <w:spacing w:after="0" w:line="181"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of March 31, 2026, MeiraGTx had cash and cash equivalents of approximately $71.5 million. Based on the cash and cash equivalents and tax incentive receivable of $14.7 million, together with the approximately $100.0 million gross proceeds from the public equity offering in the second quarter of 2026 and the remaining $95.0 million upfront payment due from Hologen and associated reimbursements, the Company estimates that such funds will be sufficient to enable it to fund its operating expenses and capital expenditure requirements into the second half of 2028, including the $25.0 million upfront cash payment to J&amp;J for the reacquisition of bota-vec and the repayment of its debt obligation to Perceptive Credit Holdings III, LP of $25.0 million (due in June 2026) and $50.0 million (due in July 2027).</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more information related to our clinical trials, please visit www.clinicaltrials.gov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337185</wp:posOffset>
            </wp:positionV>
            <wp:extent cx="127698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229" w:lineRule="exact"/>
        <w:rPr>
          <w:sz w:val="20"/>
          <w:szCs w:val="20"/>
          <w:color w:val="auto"/>
        </w:rPr>
      </w:pPr>
    </w:p>
    <w:p>
      <w:pPr>
        <w:jc w:val="both"/>
        <w:ind w:left="60" w:right="579"/>
        <w:spacing w:after="0" w:line="282" w:lineRule="auto"/>
        <w:rPr>
          <w:sz w:val="20"/>
          <w:szCs w:val="20"/>
          <w:color w:val="auto"/>
        </w:rPr>
      </w:pPr>
      <w:r>
        <w:rPr>
          <w:rFonts w:ascii="Times New Roman" w:cs="Times New Roman" w:eastAsia="Times New Roman" w:hAnsi="Times New Roman"/>
          <w:sz w:val="18"/>
          <w:szCs w:val="18"/>
          <w:color w:val="15161C"/>
        </w:rPr>
        <w:t>Cash, cash equivalents and restricted cash were $73.8 million as of March 31, 2026, compared to $68.2 million as of December 31, 2025.</w:t>
      </w:r>
    </w:p>
    <w:p>
      <w:pPr>
        <w:spacing w:after="0" w:line="162" w:lineRule="exact"/>
        <w:rPr>
          <w:sz w:val="20"/>
          <w:szCs w:val="20"/>
          <w:color w:val="auto"/>
        </w:rPr>
      </w:pPr>
    </w:p>
    <w:p>
      <w:pPr>
        <w:jc w:val="both"/>
        <w:ind w:left="60" w:right="559"/>
        <w:spacing w:after="0" w:line="289" w:lineRule="auto"/>
        <w:rPr>
          <w:sz w:val="20"/>
          <w:szCs w:val="20"/>
          <w:color w:val="auto"/>
        </w:rPr>
      </w:pPr>
      <w:r>
        <w:rPr>
          <w:rFonts w:ascii="Times New Roman" w:cs="Times New Roman" w:eastAsia="Times New Roman" w:hAnsi="Times New Roman"/>
          <w:sz w:val="17"/>
          <w:szCs w:val="17"/>
          <w:color w:val="15161C"/>
        </w:rPr>
        <w:t>Service revenue was $0.3 million for the three months ended March 31, 2026, compared to $1.9 million for the three months ended March 31, 2025. The decrease of $1.6 million was due to decreased activity of PPQ services under the original asset purchase agreement with J&amp;J as the work was substantially completed in the first half of 2025.</w:t>
      </w:r>
    </w:p>
    <w:p>
      <w:pPr>
        <w:spacing w:after="0" w:line="15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15161C"/>
        </w:rPr>
        <w:t>Cost of service revenue was $0.2 million for the three months ended March 31, 2026, compared to $1.4 million for the three months ended March 31, 2025. The decrease of $1.2 million was due to decreased activity of PPQ services under the original asset purchase agreement with J&amp;J as the work was substantially completed in the first half of 2025.</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15161C"/>
        </w:rPr>
        <w:t>General and administrative expenses were $8.9 million for the three months ended March 31, 2026, compared to $9.3 million for the three months ended March 31, 2025. The decrease of $0.4 million was primarily due to lower personnel related costs, including a decrease in payroll expense primarily due to lower bonus accruals, as well as a decrease in share-based compensation expense due to vesting in prior periods and a decrease in facilities costs. These decreases were partially offset by an increase in professional services costs. In addition, the three months ended March 31, 2025 included a release of asset retirement obligation provisions related to U.S. office and laboratory leases, which did not recur during the three months ended March 31, 2026.</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15161C"/>
        </w:rPr>
        <w:t>Research and development expenses were $32.0 million for the three months ended March 31, 2026, compared to $32.8 million for the three months ended March 31, 2025. The decrease of $0.8 million was primarily due to decreases in other ocular diseases and AAV2-hAQP1 clinical programs, as there were no clinical trial material batches manufactured during the three months ended March 31, 2026 and overall lower clinical trial-related spend for AAV-GAD and AAV2-hAPQ1. In addition, costs associated with our preclinical programs for gene regulation and neurodegenerative diseases decreased compared to the prior year, primarily due to the completion of certain preclinical studies in 2025. These decreases were partially offset by an increase in manufacturing costs as there was no clinical trial material batch costs to allocate to our clinical programs as no batches were produced during the three months ended March 31, 2026, as well as a lower allocation of costs to cost of service revenue reflecting PPQ services provided under the original asset purchase agreement and related agreements being substantially completed during the first half of 2025.</w:t>
      </w:r>
    </w:p>
    <w:p>
      <w:pPr>
        <w:spacing w:after="0" w:line="194"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15161C"/>
        </w:rPr>
        <w:t>Foreign currency loss was $2.8 million for the three months ended March 31, 2026, compared to a gain of $3.7 million for the three months ended March 31, 2025. The change of $6.5 million was primarily due to the strengthening of the U.S. dollar against the pound sterling and euro as it relates to the valuation of our intercompany payables and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337185</wp:posOffset>
            </wp:positionV>
            <wp:extent cx="127698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15161C"/>
        </w:rPr>
        <w:t>Interest income was $0.2 million for the three months ended March 31, 2026, compared to $1.0 million for the three months ended March 31, 2025. The decrease of $0.8 million was due to lower interest rates and cash balances held in interest bearing accounts during 2026.</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15161C"/>
        </w:rPr>
        <w:t>Interest expense was $2.8 million for the three months ended March 31, 2026 compared to $3.0 million for the three months ended March 31, 2025. The decrease of $0.2 million was primarily due to a lower interest rate in connection with the debt financing.</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15161C"/>
        </w:rPr>
        <w:t>Net loss attributable to ordinary shareholders for the quarter ended March 31, 2026, was $46.3 million, or $0.57 basic and diluted net loss per ordinary share, compared to a net loss attributable to ordinary shareholders of $40.0 million, or $0.51 basic and diluted net loss per ordinary share for the quarter ended March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15161C"/>
        </w:rPr>
        <w:t>About MeiraGTx</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MeiraGTx (Nasdaq: MGTX) is a vertically integrated, clinical-stage genetic medicines company with a broad pipeline with four late-stage clinical programs. Each of these programs use local delivery of small doses resulting in disease modifying effects in both inherited and more common diseases, in the eye, Parkinson’s disease and radiation-induced xerostomia. MeiraGTx uses its innovative technology in optimization of capsids, promoters and novel translational control elements to develop best in class, potent, safe viral vectors. MeiraGTx’s broad pipeline is supported by end-to-end in-house manufacturing. MeiraGTx has built the most comprehensive manufacturing capabilities in the industry, with 5 facilities globally, including two that are licensed for GMP viral vector production and a GMP QC facility with clinical and commercial licensure. In addition, MeiraGTx has developed a proprietary manufacturing platform process over 9 years based on more than 20 different viral vectors with leading yield and quality aspects and commercial readiness. Uniquely, MeiraGTx has developed a novel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any biologic therapeutic using oral small molecules. This transformative riboswitch gene regulation technology allows precise, dose-responsive control of gene expression by oral small molecules. MeiraGTx is focusing the riboswitch platform on the regulated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metabolic peptides, including GLP-1, GIP, Glucagon, Amylin, PYY and Leptin, as well as cell therapy, CAR-T for liquid and solid tumors and autoimmune diseases, and additionally PNS targets addressing long term intractable pain. MeiraGTx has developed the technology to apply genetic medicine to common diseases, increasing efficacy, addressing novel targets, and expanding access in some of the largest disease areas where the unmet need remains high.</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more information, please visit www.meiragtx.com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product candidate development and anticipated milestones regarding our pre-clinical and clinical data, reporting of such data and the timing of results of data and regulatory matters, statements regarding our collaborations, as well as statements that include the words “expect,” “will,” “intend,” “plan,” “believe,”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337185</wp:posOffset>
            </wp:positionV>
            <wp:extent cx="127698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“forecast,” “estimate,” “may,” “could,” “should,” “would,” “continue,” “anticipate,” “eligible”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incurrence of significant losses; any inability to achieve or maintain profitability, raise additional capital, repay our debt obligations, identify additional and develop existing product candidates, successfully execute strategic transactions or priorities, bring product candidates to market, expansion of our manufacturing facilities and processes, successfully enroll patients in and complete clinical trials, accurately predict growth assumptions, recognize benefits of any orphan drug or rare pediatric disease designations, retain key personnel or attract qualified employees, or incur expected levels of operating expenses; the impact of pandemics, epidemics or outbreaks of infectious diseases on the status, enrollment, timing and results of our clinical trials and on our business, results of operations and financial condition; failure of early data to predict eventual outcomes; failure to obtain FDA or other regulatory approval for product candidates within expected time frames or at all; the novel nature and impact of negative public opinion of gene therapy; failure to comply with ongoing regulatory obligations; contamination or shortage of raw materials or other manufacturing issues; changes in healthcare laws; risks associated with our international operations; significant competition in the pharmaceutical and biotechnology industries; dependence on third parties; risks related to intellectual property; changes in tax policy or treatment; our ability to utilize our loss and tax credit carryforwards; litigation risks; and the other important factors discussed under the caption “Risk Factors” in our Quarterly Report on Form 10-Q for the quarter ended March 31, 2026, as such factors may be updated from time to time in our other filings with the SEC, which are accessible on the SEC’s website at www.sec.gov. These and other important factors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unless required by law, we disclaim any obligation to do so, even if subsequent events cause our views to change. Thus, one should not assume that our silence over time means that actual events are bearing out as expressed or implied in such forward-looking statements. These forward-looking statements should not be relied upon as representing our views as of any date subsequent to the date of this press release.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Contacts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Investors: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MeiraGTx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Investors@meiragtx.com</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Media: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Jordyn Temperato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15161C"/>
        </w:rPr>
        <w:t>LifeSci Communications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jtemperato@lifescicomms.com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337820</wp:posOffset>
            </wp:positionV>
            <wp:extent cx="127698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color w:val="auto"/>
              </w:rPr>
              <w:t>For the Three-Month Periods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 related party</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revenue - related party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32,780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43,522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loss per ordinary share</w:t>
            </w:r>
          </w:p>
        </w:tc>
        <w:tc>
          <w:tcPr>
            <w:tcW w:w="10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24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ordinary shares outstanding</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81,300,944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79,032,341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1" w:name="page12"/>
    <w:bookmarkEnd w:id="11"/>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337820</wp:posOffset>
            </wp:positionV>
            <wp:extent cx="127698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571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March 31,</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500" w:type="dxa"/>
            <w:vAlign w:val="bottom"/>
            <w:gridSpan w:val="3"/>
            <w:shd w:val="clear" w:color="auto" w:fill="CCEEFF"/>
          </w:tcPr>
          <w:p>
            <w:pPr>
              <w:jc w:val="center"/>
              <w:ind w:right="2860"/>
              <w:spacing w:after="0" w:line="169" w:lineRule="exact"/>
              <w:rPr>
                <w:sz w:val="20"/>
                <w:szCs w:val="20"/>
                <w:color w:val="auto"/>
              </w:rPr>
            </w:pPr>
            <w:r>
              <w:rPr>
                <w:rFonts w:ascii="Times New Roman" w:cs="Times New Roman" w:eastAsia="Times New Roman" w:hAnsi="Times New Roman"/>
                <w:sz w:val="18"/>
                <w:szCs w:val="18"/>
                <w:color w:val="auto"/>
                <w:w w:val="98"/>
              </w:rPr>
              <w:t>ASSETS</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Borders>
              <w:top w:val="single" w:sz="8" w:color="auto"/>
            </w:tcBorders>
          </w:tcPr>
          <w:p>
            <w:pPr>
              <w:spacing w:after="0"/>
              <w:rPr>
                <w:sz w:val="18"/>
                <w:szCs w:val="18"/>
                <w:color w:val="auto"/>
              </w:rPr>
            </w:pPr>
          </w:p>
        </w:tc>
        <w:tc>
          <w:tcPr>
            <w:tcW w:w="286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 incentive receivable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Right-of-use assets - operating leases,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finance leases, net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6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244,655</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244,430</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6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LIABILITIES AND SHAREHOLDERS’ EQUITY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 obligations - operating leases, 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 finance leases, 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 - related party, current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 operating leases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 obligations - finance leases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Note payable, net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$0.00003881 par value, 1,288,327,750 authorized, 81,446,126 and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81,120,931 shares issued and outstanding at March 31, 2026 and December 31, 2025,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(816,223)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244,655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2026-05-14T07:08:03Z</dcterms:created>
  <dcterms:modified xsi:type="dcterms:W3CDTF">2026-05-14T07:08:03Z</dcterms:modified>
</cp:coreProperties>
</file>