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MeiraGTx Holdings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$0.00003881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4,000,000.00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4.91 %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Phillip Gross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MeiraGTx Holdings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579"/>
        <w:spacing w:after="0"/>
        <w:rPr>
          <w:sz w:val="20"/>
          <w:szCs w:val="20"/>
          <w:color w:val="auto"/>
        </w:rPr>
      </w:pPr>
      <w:r>
        <w:rPr>
          <w:rFonts w:ascii="Times New Roman" w:cs="Times New Roman" w:eastAsia="Times New Roman" w:hAnsi="Times New Roman"/>
          <w:sz w:val="22"/>
          <w:szCs w:val="22"/>
          <w:color w:val="auto"/>
        </w:rPr>
        <w:t>655 Third Avenue, Suite 1115, New York, NY 10017</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80"/>
        <w:spacing w:after="0" w:line="245" w:lineRule="auto"/>
        <w:rPr>
          <w:sz w:val="20"/>
          <w:szCs w:val="20"/>
          <w:color w:val="auto"/>
        </w:rPr>
      </w:pPr>
      <w:r>
        <w:rPr>
          <w:rFonts w:ascii="Times New Roman" w:cs="Times New Roman" w:eastAsia="Times New Roman" w:hAnsi="Times New Roman"/>
          <w:sz w:val="21"/>
          <w:szCs w:val="21"/>
          <w:color w:val="auto"/>
        </w:rPr>
        <w:t>This statement is filed by: (i) Adage Capital Management, L.P., a Delaware limited partnership ("ACM"), as the investment manager of Adage Capital Partners, L.P., a Delaware limited partnership ("ACP"), with respect to the ordinary shares, par value $0.00003881 per share ("Ordinary Shares"), of MeiraGTx Holdings plc, an exempted company incorporated under the laws of the Cayman Islands (the "Company"), directly held by ACP; (ii) Robert Atchinson ("Mr. Atchinson"), as (1) managing member of Adage Capital Advisors, L.L.C., a limited liability company organized under the laws of the State of Delaware ("ACA"), managing member of Adage Capital Partners</w:t>
      </w:r>
    </w:p>
    <w:p>
      <w:pPr>
        <w:spacing w:after="0" w:line="3" w:lineRule="exact"/>
        <w:rPr>
          <w:sz w:val="20"/>
          <w:szCs w:val="20"/>
          <w:color w:val="auto"/>
        </w:rPr>
      </w:pPr>
    </w:p>
    <w:p>
      <w:pPr>
        <w:ind w:left="920" w:right="40" w:hanging="912"/>
        <w:spacing w:after="0" w:line="232"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GP, L.L.C., a limited liability company organized under the laws of the State of Delaware ("ACPGP"), general partner of ACP and (2) managing member of Adage Capital Partners LLC, a Delaware limited liability company ("ACPLLC"), general partner of ACM, with respect to the Ordinary Shares directly held by ACP; and (iii) Phillip Gross ("Mr. Gross"), as (1) managing member of ACA, managing member of ACPGP and (2) managing member of ACPLLC, general partner of ACM, with respect to the Ordinary Shares directly held by ACP. The foregoing persons are hereinafter sometimes collectively referred to as the "Reporting Persons." Any disclosures herein with respect to persons other than the Reporting Persons are made on information and belief after making inquiry to the appropriate party. The filing of this statement should not be construed in and of itself as an admission by any Reporting Person as to beneficial ownership of the securities reported herein.</w:t>
      </w:r>
    </w:p>
    <w:p>
      <w:pPr>
        <w:sectPr>
          <w:pgSz w:w="11900" w:h="16838" w:orient="portrait"/>
          <w:cols w:equalWidth="0" w:num="1">
            <w:col w:w="11120"/>
          </w:cols>
          <w:pgMar w:left="360" w:top="112" w:right="419" w:bottom="181" w:gutter="0" w:footer="0" w:header="0"/>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200 Clarendon Street, 52nd Floor, Boston, Massachusetts 02116.</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22"/>
          <w:szCs w:val="22"/>
          <w:color w:val="auto"/>
        </w:rPr>
        <w:t>ACM is a limited partnership organized under the laws of the State of Delaware. Messrs. Gross and Atchinson are citizens of the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par value $0.00003881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2" w:right="419" w:bottom="181"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w:t>
      </w:r>
    </w:p>
    <w:p>
      <w:pPr>
        <w:spacing w:after="0" w:line="26" w:lineRule="exact"/>
        <w:rPr>
          <w:sz w:val="20"/>
          <w:szCs w:val="20"/>
          <w:color w:val="auto"/>
        </w:rPr>
      </w:pPr>
    </w:p>
    <w:p>
      <w:pPr>
        <w:ind w:left="920" w:hanging="912"/>
        <w:spacing w:after="0" w:line="23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The percentage set forth in this Schedule 13G is calculated based upon an aggregate of 81,446,126 Ordinary Shares outstanding as of March 30, 2026, as reported in the Company's Annual Report on Form 10-K for the fiscal year ended December 31, 2025, filed with the Securities and Exchange Commission on March 30, 2026.</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4.91%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120"/>
          </w:cols>
          <w:pgMar w:left="360" w:top="112" w:right="419" w:bottom="181" w:gutter="0" w:footer="0" w:header="0"/>
          <w:type w:val="continuous"/>
        </w:sectPr>
      </w:pPr>
    </w:p>
    <w:bookmarkStart w:id="4" w:name="page5"/>
    <w:bookmarkEnd w:id="4"/>
    <w:p>
      <w:pPr>
        <w:jc w:val="both"/>
        <w:ind w:left="920" w:right="20"/>
        <w:spacing w:after="0" w:line="259"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Adage Capital Management,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Adage Capital Partners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Robert Atchinson, its Managing</w:t>
      </w:r>
    </w:p>
    <w:p>
      <w:pPr>
        <w:ind w:left="674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Robert Atchinson</w:t>
      </w:r>
    </w:p>
    <w:p>
      <w:pPr>
        <w:spacing w:after="0" w:line="152"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Atchinson</w:t>
      </w:r>
    </w:p>
    <w:p>
      <w:pPr>
        <w:spacing w:after="0" w:line="4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Name/Title: Robert Atchinson, individually</w:t>
      </w:r>
    </w:p>
    <w:p>
      <w:pPr>
        <w:spacing w:after="0" w:line="44" w:lineRule="exact"/>
        <w:rPr>
          <w:sz w:val="20"/>
          <w:szCs w:val="20"/>
          <w:color w:val="auto"/>
        </w:rPr>
      </w:pPr>
    </w:p>
    <w:p>
      <w:pPr>
        <w:ind w:left="3960"/>
        <w:spacing w:after="0"/>
        <w:tabs>
          <w:tab w:leader="none" w:pos="5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Phillip Gross</w:t>
      </w:r>
    </w:p>
    <w:p>
      <w:pPr>
        <w:sectPr>
          <w:pgSz w:w="11900" w:h="16838" w:orient="portrait"/>
          <w:cols w:equalWidth="0" w:num="1">
            <w:col w:w="11140"/>
          </w:cols>
          <w:pgMar w:left="360" w:top="112" w:right="399" w:bottom="0" w:gutter="0" w:footer="0" w:header="0"/>
          <w:type w:val="continuous"/>
        </w:sectPr>
      </w:pPr>
    </w:p>
    <w:bookmarkStart w:id="5" w:name="page6"/>
    <w:bookmarkEnd w:id="5"/>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Phillip Gross</w:t>
      </w:r>
    </w:p>
    <w:p>
      <w:pPr>
        <w:spacing w:after="0" w:line="4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color w:val="auto"/>
        </w:rPr>
        <w:t>Name/Title: Phillip Gross, individually</w:t>
      </w:r>
    </w:p>
    <w:p>
      <w:pPr>
        <w:spacing w:after="0" w:line="56" w:lineRule="exact"/>
        <w:rPr>
          <w:sz w:val="20"/>
          <w:szCs w:val="20"/>
          <w:color w:val="auto"/>
        </w:rPr>
      </w:pPr>
    </w:p>
    <w:p>
      <w:pPr>
        <w:ind w:left="2500"/>
        <w:spacing w:after="0"/>
        <w:tabs>
          <w:tab w:leader="none" w:pos="3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019"/>
      </w:cols>
      <w:pgMar w:left="144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2026-05-13T08:09:03Z</dcterms:created>
  <dcterms:modified xsi:type="dcterms:W3CDTF">2026-05-13T08:09:03Z</dcterms:modified>
</cp:coreProperties>
</file>