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945515</wp:posOffset>
            </wp:positionH>
            <wp:positionV relativeFrom="page">
              <wp:posOffset>568960</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54"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208280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50" w:lineRule="exact"/>
        <w:rPr>
          <w:sz w:val="24"/>
          <w:szCs w:val="24"/>
          <w:color w:val="auto"/>
        </w:rPr>
      </w:pPr>
    </w:p>
    <w:p>
      <w:pPr>
        <w:ind w:left="60"/>
        <w:spacing w:after="0" w:line="184" w:lineRule="exact"/>
        <w:tabs>
          <w:tab w:leader="none" w:pos="292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86" w:lineRule="exact"/>
        <w:rPr>
          <w:sz w:val="24"/>
          <w:szCs w:val="24"/>
          <w:color w:val="auto"/>
        </w:rPr>
      </w:pPr>
    </w:p>
    <w:p>
      <w:pPr>
        <w:ind w:left="700" w:hanging="650"/>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84" w:lineRule="exact"/>
        <w:rPr>
          <w:rFonts w:ascii="MS PGothic" w:cs="MS PGothic" w:eastAsia="MS PGothic" w:hAnsi="MS PGothic"/>
          <w:sz w:val="16"/>
          <w:szCs w:val="16"/>
          <w:color w:val="auto"/>
        </w:rPr>
      </w:pPr>
    </w:p>
    <w:p>
      <w:pPr>
        <w:ind w:left="700" w:hanging="650"/>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88" w:lineRule="exact"/>
        <w:rPr>
          <w:rFonts w:ascii="MS PGothic" w:cs="MS PGothic" w:eastAsia="MS PGothic" w:hAnsi="MS PGothic"/>
          <w:sz w:val="16"/>
          <w:szCs w:val="16"/>
          <w:color w:val="auto"/>
        </w:rPr>
      </w:pPr>
    </w:p>
    <w:p>
      <w:pPr>
        <w:ind w:left="700" w:hanging="650"/>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86" w:lineRule="exact"/>
        <w:rPr>
          <w:sz w:val="24"/>
          <w:szCs w:val="24"/>
          <w:color w:val="auto"/>
        </w:rPr>
      </w:pPr>
    </w:p>
    <w:p>
      <w:pPr>
        <w:ind w:left="700" w:hanging="650"/>
        <w:spacing w:after="0"/>
        <w:tabs>
          <w:tab w:leader="none" w:pos="7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86" w:lineRule="exact"/>
        <w:rPr>
          <w:sz w:val="24"/>
          <w:szCs w:val="24"/>
          <w:color w:val="auto"/>
        </w:rPr>
      </w:pPr>
    </w:p>
    <w:p>
      <w:pPr>
        <w:ind w:left="700" w:hanging="650"/>
        <w:spacing w:after="0"/>
        <w:tabs>
          <w:tab w:leader="none" w:pos="7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 240.14a-12</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MeiraGTx Holdings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35560</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242570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5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00" w:lineRule="exact"/>
        <w:rPr>
          <w:sz w:val="24"/>
          <w:szCs w:val="24"/>
          <w:color w:val="auto"/>
        </w:rPr>
      </w:pPr>
    </w:p>
    <w:p>
      <w:pPr>
        <w:ind w:left="700" w:hanging="650"/>
        <w:spacing w:after="0"/>
        <w:tabs>
          <w:tab w:leader="none" w:pos="7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86" w:lineRule="exact"/>
        <w:rPr>
          <w:sz w:val="24"/>
          <w:szCs w:val="24"/>
          <w:color w:val="auto"/>
        </w:rPr>
      </w:pPr>
    </w:p>
    <w:p>
      <w:pPr>
        <w:ind w:left="700" w:hanging="650"/>
        <w:spacing w:after="0"/>
        <w:tabs>
          <w:tab w:leader="none" w:pos="7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700" w:hanging="650"/>
        <w:spacing w:after="0"/>
        <w:tabs>
          <w:tab w:leader="none" w:pos="7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877570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 w:name="page2"/>
    <w:bookmarkEnd w:id="1"/>
    <w:p>
      <w:pPr>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Commencing on January 20, 2023, MeiraGTx Holdings plc (the “Company”) made the following communication available to shareholders in connection with its Extraordinary General Meeting of Shareholders (the “Special Meeting”) scheduled to be held Tuesday, January 24, 2023 at 10:00 a.m., Eastern Time.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MeiraGTx Holdings plc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Cancels its Special Meeting of Shareholders</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9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determined to withdraw from shareholder consideration the proposals set forth in its Definitive Proxy Statement filed with the Securities and Exchange Commission on December 23, 2022. As a result, the Company has determined to cancel the convening of the Special Meeting scheduled to be held Tuesday, January 24, 2023 at 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6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2023-01-20T08:02:24Z</dcterms:created>
  <dcterms:modified xsi:type="dcterms:W3CDTF">2023-01-20T08:02:24Z</dcterms:modified>
</cp:coreProperties>
</file>