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mgtx-20260630x10q.htm"/>
        <w:bookmarkStart w:id="1" w:name="ksmgt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b2ef2cec_2f3d_4de8_8a5a_36943bca63d1"/>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6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80"/>
              <w:jc w:val="left"/>
              <w:rPr/>
            </w:pPr>
            <w:r>
              <w:rPr/>
              <w:t>☒</w:t>
            </w:r>
          </w:p>
        </w:tc>
        <w:tc>
          <w:tcPr>
            <w:tcW w:w="9874" w:type="dxa"/>
            <w:tcBorders/>
            <w:vAlign w:val="center"/>
          </w:tcPr>
          <w:p>
            <w:pPr>
              <w:pStyle w:val="TableContents"/>
              <w:bidi w:val="0"/>
              <w:spacing w:before="0" w:after="8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80"/>
              <w:jc w:val="left"/>
              <w:rPr/>
            </w:pPr>
            <w:r>
              <w:rPr/>
              <w:t>☐</w:t>
            </w:r>
          </w:p>
        </w:tc>
        <w:tc>
          <w:tcPr>
            <w:tcW w:w="9874" w:type="dxa"/>
            <w:tcBorders/>
            <w:vAlign w:val="center"/>
          </w:tcPr>
          <w:p>
            <w:pPr>
              <w:pStyle w:val="TableContents"/>
              <w:bidi w:val="0"/>
              <w:spacing w:before="0" w:after="8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001-38520</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MeiraGTx Holdings plc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O3NFz26t1027Cv_v4mkH8w_6_2"/>
      <w:bookmarkStart w:id="4" w:name="Tc_vI-ScJVyJEan3jILvceg_A_6_0"/>
      <w:bookmarkStart w:id="5" w:name="Tc__IC33jJq7Um4DzG1gQfCag_5_0"/>
      <w:bookmarkStart w:id="6" w:name="Tc_iwb5Wf9eN0CMruoh2qL6HQ_4_0"/>
      <w:bookmarkStart w:id="7" w:name="Tc_hjLesQBsikerIXGyY5uOzQ_2_2"/>
      <w:bookmarkStart w:id="8" w:name="Tc_Hn-GDbX-gUqdjbyO6VONzw_2_0"/>
      <w:bookmarkStart w:id="9" w:name="_fea02b11_1f5e_4272_a725_a239c774f7aa"/>
      <w:bookmarkStart w:id="10" w:name="Tc_O3NFz26t1027Cv_v4mkH8w_6_2"/>
      <w:bookmarkStart w:id="11" w:name="Tc_vI-ScJVyJEan3jILvceg_A_6_0"/>
      <w:bookmarkStart w:id="12" w:name="Tc__IC33jJq7Um4DzG1gQfCag_5_0"/>
      <w:bookmarkStart w:id="13" w:name="Tc_iwb5Wf9eN0CMruoh2qL6HQ_4_0"/>
      <w:bookmarkStart w:id="14" w:name="Tc_hjLesQBsikerIXGyY5uOzQ_2_2"/>
      <w:bookmarkStart w:id="15" w:name="Tc_Hn-GDbX-gUqdjbyO6VONzw_2_0"/>
      <w:bookmarkStart w:id="16" w:name="_fea02b11_1f5e_4272_a725_a239c774f7aa"/>
      <w:bookmarkEnd w:id="10"/>
      <w:bookmarkEnd w:id="11"/>
      <w:bookmarkEnd w:id="12"/>
      <w:bookmarkEnd w:id="13"/>
      <w:bookmarkEnd w:id="14"/>
      <w:bookmarkEnd w:id="15"/>
      <w:bookmarkEnd w:id="16"/>
    </w:p>
    <w:tbl>
      <w:tblPr>
        <w:tblW w:w="4758" w:type="dxa"/>
        <w:jc w:val="left"/>
        <w:tblInd w:w="0" w:type="dxa"/>
        <w:tblLayout w:type="fixed"/>
        <w:tblCellMar>
          <w:top w:w="0" w:type="dxa"/>
          <w:left w:w="0" w:type="dxa"/>
          <w:bottom w:w="0" w:type="dxa"/>
          <w:right w:w="0" w:type="dxa"/>
        </w:tblCellMar>
      </w:tblPr>
      <w:tblGrid>
        <w:gridCol w:w="2926"/>
        <w:gridCol w:w="346"/>
        <w:gridCol w:w="1486"/>
      </w:tblGrid>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Cayman Islands</w:t>
            </w:r>
          </w:p>
        </w:tc>
        <w:tc>
          <w:tcPr>
            <w:tcW w:w="346" w:type="dxa"/>
            <w:tcBorders/>
            <w:vAlign w:val="center"/>
          </w:tcPr>
          <w:p>
            <w:pPr>
              <w:pStyle w:val="TableContents"/>
              <w:bidi w:val="0"/>
              <w:spacing w:before="0" w:after="20"/>
              <w:ind w:left="0" w:right="0" w:hanging="0"/>
              <w:jc w:val="both"/>
              <w:rPr/>
            </w:pPr>
            <w:r>
              <w:rPr/>
              <w:t>  ​ ​ ​</w:t>
            </w:r>
          </w:p>
        </w:tc>
        <w:tc>
          <w:tcPr>
            <w:tcW w:w="148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98-1448305</w:t>
            </w:r>
          </w:p>
        </w:tc>
      </w:tr>
      <w:tr>
        <w:trPr/>
        <w:tc>
          <w:tcPr>
            <w:tcW w:w="2926" w:type="dxa"/>
            <w:tcBorders/>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br/>
            </w:r>
            <w:r>
              <w:rPr>
                <w:rFonts w:ascii="Times New Roman;Times;serif" w:hAnsi="Times New Roman;Times;serif"/>
                <w:b/>
                <w:sz w:val="16"/>
              </w:rPr>
              <w:t>incorporation or organization)</w:t>
            </w:r>
          </w:p>
        </w:tc>
        <w:tc>
          <w:tcPr>
            <w:tcW w:w="346" w:type="dxa"/>
            <w:tcBorders/>
            <w:vAlign w:val="center"/>
          </w:tcPr>
          <w:p>
            <w:pPr>
              <w:pStyle w:val="TableContents"/>
              <w:bidi w:val="0"/>
              <w:spacing w:before="0" w:after="240"/>
              <w:ind w:left="0" w:right="0" w:hanging="0"/>
              <w:jc w:val="both"/>
              <w:rPr/>
            </w:pPr>
            <w:r>
              <w:rPr/>
              <w:t>​</w:t>
            </w:r>
          </w:p>
        </w:tc>
        <w:tc>
          <w:tcPr>
            <w:tcW w:w="148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(I.R.S. Employer</w:t>
              <w:br/>
              <w:t>Identification No.)</w:t>
            </w:r>
          </w:p>
        </w:tc>
      </w:tr>
      <w:tr>
        <w:trPr/>
        <w:tc>
          <w:tcPr>
            <w:tcW w:w="292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both"/>
              <w:rPr/>
            </w:pPr>
            <w:r>
              <w:rPr/>
              <w:t>​</w:t>
            </w:r>
          </w:p>
        </w:tc>
        <w:tc>
          <w:tcPr>
            <w:tcW w:w="1486" w:type="dxa"/>
            <w:tcBorders/>
            <w:vAlign w:val="center"/>
          </w:tcPr>
          <w:p>
            <w:pPr>
              <w:pStyle w:val="TableContents"/>
              <w:bidi w:val="0"/>
              <w:spacing w:before="0" w:after="240"/>
              <w:ind w:left="0" w:right="0" w:hanging="0"/>
              <w:jc w:val="center"/>
              <w:rPr/>
            </w:pPr>
            <w:r>
              <w:rPr/>
              <w:t>​</w:t>
            </w:r>
          </w:p>
        </w:tc>
      </w:tr>
      <w:tr>
        <w:trPr/>
        <w:tc>
          <w:tcPr>
            <w:tcW w:w="2926"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b/>
                <w:sz w:val="16"/>
              </w:rPr>
              <w:t>655 Third Avenue, Suite 1115</w:t>
            </w:r>
            <w:r>
              <w:rPr>
                <w:rFonts w:ascii="Times New Roman;Times;serif" w:hAnsi="Times New Roman;Times;serif"/>
                <w:sz w:val="20"/>
              </w:rPr>
              <w:t xml:space="preserve"> </w:t>
            </w:r>
          </w:p>
        </w:tc>
        <w:tc>
          <w:tcPr>
            <w:tcW w:w="346" w:type="dxa"/>
            <w:tcBorders/>
            <w:vAlign w:val="center"/>
          </w:tcPr>
          <w:p>
            <w:pPr>
              <w:pStyle w:val="TableContents"/>
              <w:bidi w:val="0"/>
              <w:spacing w:before="0" w:after="240"/>
              <w:ind w:left="0" w:right="0" w:hanging="0"/>
              <w:jc w:val="both"/>
              <w:rPr/>
            </w:pPr>
            <w:r>
              <w:rPr/>
              <w:t>​</w:t>
            </w:r>
          </w:p>
        </w:tc>
        <w:tc>
          <w:tcPr>
            <w:tcW w:w="1486" w:type="dxa"/>
            <w:tcBorders/>
            <w:vAlign w:val="center"/>
          </w:tcPr>
          <w:p>
            <w:pPr>
              <w:pStyle w:val="TableContents"/>
              <w:bidi w:val="0"/>
              <w:spacing w:before="0" w:after="240"/>
              <w:ind w:left="0" w:right="0" w:hanging="0"/>
              <w:jc w:val="center"/>
              <w:rPr/>
            </w:pPr>
            <w:r>
              <w:rPr/>
              <w:t>​</w:t>
            </w:r>
          </w:p>
        </w:tc>
      </w:tr>
      <w:tr>
        <w:trPr/>
        <w:tc>
          <w:tcPr>
            <w:tcW w:w="292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New York, NY</w:t>
            </w:r>
          </w:p>
        </w:tc>
        <w:tc>
          <w:tcPr>
            <w:tcW w:w="346" w:type="dxa"/>
            <w:tcBorders/>
            <w:vAlign w:val="center"/>
          </w:tcPr>
          <w:p>
            <w:pPr>
              <w:pStyle w:val="TableContents"/>
              <w:bidi w:val="0"/>
              <w:spacing w:before="0" w:after="240"/>
              <w:ind w:left="0" w:right="0" w:hanging="0"/>
              <w:jc w:val="both"/>
              <w:rPr/>
            </w:pPr>
            <w:r>
              <w:rPr/>
              <w:t>​</w:t>
            </w:r>
          </w:p>
        </w:tc>
        <w:tc>
          <w:tcPr>
            <w:tcW w:w="148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10017</w:t>
            </w:r>
          </w:p>
        </w:tc>
      </w:tr>
      <w:tr>
        <w:trPr/>
        <w:tc>
          <w:tcPr>
            <w:tcW w:w="292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46" w:type="dxa"/>
            <w:tcBorders/>
            <w:vAlign w:val="center"/>
          </w:tcPr>
          <w:p>
            <w:pPr>
              <w:pStyle w:val="TableContents"/>
              <w:bidi w:val="0"/>
              <w:spacing w:before="0" w:after="240"/>
              <w:ind w:left="0" w:right="0" w:hanging="0"/>
              <w:jc w:val="both"/>
              <w:rPr/>
            </w:pPr>
            <w:r>
              <w:rPr/>
              <w:t>​</w:t>
            </w:r>
          </w:p>
        </w:tc>
        <w:tc>
          <w:tcPr>
            <w:tcW w:w="1486" w:type="dxa"/>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(646) 860-7985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CBlnT5-9R0amjVTCXlodJw_2_4"/>
      <w:bookmarkStart w:id="18" w:name="Tc_IGKAnD1z-kGvd20YmUD-qQ_2_0"/>
      <w:bookmarkStart w:id="19" w:name="Tc_n6B1dalXq0qNFDsSPEr-6A_1_4"/>
      <w:bookmarkStart w:id="20" w:name="Tc__Pmebbt1g0KbPYPpaliTLg_1_2"/>
      <w:bookmarkStart w:id="21" w:name="Tc_j1KOBEcbM06yTtQGINP_bg_1_0"/>
      <w:bookmarkStart w:id="22" w:name="_9724bf6a_a57b_4ea3_adec_c1fa80dc59b1"/>
      <w:bookmarkStart w:id="23" w:name="Tc_CBlnT5-9R0amjVTCXlodJw_2_4"/>
      <w:bookmarkStart w:id="24" w:name="Tc_IGKAnD1z-kGvd20YmUD-qQ_2_0"/>
      <w:bookmarkStart w:id="25" w:name="Tc_n6B1dalXq0qNFDsSPEr-6A_1_4"/>
      <w:bookmarkStart w:id="26" w:name="Tc__Pmebbt1g0KbPYPpaliTLg_1_2"/>
      <w:bookmarkStart w:id="27" w:name="Tc_j1KOBEcbM06yTtQGINP_bg_1_0"/>
      <w:bookmarkStart w:id="28" w:name="_9724bf6a_a57b_4ea3_adec_c1fa80dc59b1"/>
      <w:bookmarkEnd w:id="23"/>
      <w:bookmarkEnd w:id="24"/>
      <w:bookmarkEnd w:id="25"/>
      <w:bookmarkEnd w:id="26"/>
      <w:bookmarkEnd w:id="27"/>
      <w:bookmarkEnd w:id="28"/>
    </w:p>
    <w:tbl>
      <w:tblPr>
        <w:tblW w:w="6485" w:type="dxa"/>
        <w:jc w:val="left"/>
        <w:tblInd w:w="0" w:type="dxa"/>
        <w:tblLayout w:type="fixed"/>
        <w:tblCellMar>
          <w:top w:w="0" w:type="dxa"/>
          <w:left w:w="0" w:type="dxa"/>
          <w:bottom w:w="0" w:type="dxa"/>
          <w:right w:w="0" w:type="dxa"/>
        </w:tblCellMar>
      </w:tblPr>
      <w:tblGrid>
        <w:gridCol w:w="2431"/>
        <w:gridCol w:w="406"/>
        <w:gridCol w:w="826"/>
        <w:gridCol w:w="346"/>
        <w:gridCol w:w="2476"/>
      </w:tblGrid>
      <w:tr>
        <w:trPr/>
        <w:tc>
          <w:tcPr>
            <w:tcW w:w="2431" w:type="dxa"/>
            <w:tcBorders/>
            <w:vAlign w:val="center"/>
          </w:tcPr>
          <w:p>
            <w:pPr>
              <w:pStyle w:val="TableHeading"/>
              <w:bidi w:val="0"/>
              <w:spacing w:before="0" w:after="283"/>
              <w:ind w:left="0" w:right="0" w:hanging="0"/>
              <w:rPr>
                <w:sz w:val="4"/>
                <w:szCs w:val="4"/>
              </w:rPr>
            </w:pPr>
            <w:r>
              <w:rPr>
                <w:sz w:val="4"/>
                <w:szCs w:val="4"/>
              </w:rPr>
            </w:r>
          </w:p>
        </w:tc>
        <w:tc>
          <w:tcPr>
            <w:tcW w:w="406" w:type="dxa"/>
            <w:tcBorders/>
            <w:vAlign w:val="center"/>
          </w:tcPr>
          <w:p>
            <w:pPr>
              <w:pStyle w:val="TableHeading"/>
              <w:bidi w:val="0"/>
              <w:spacing w:before="0" w:after="283"/>
              <w:ind w:left="0" w:right="0" w:hanging="0"/>
              <w:rPr>
                <w:sz w:val="4"/>
                <w:szCs w:val="4"/>
              </w:rPr>
            </w:pPr>
            <w:r>
              <w:rPr>
                <w:sz w:val="4"/>
                <w:szCs w:val="4"/>
              </w:rPr>
            </w:r>
          </w:p>
        </w:tc>
        <w:tc>
          <w:tcPr>
            <w:tcW w:w="826"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2476" w:type="dxa"/>
            <w:tcBorders/>
            <w:vAlign w:val="center"/>
          </w:tcPr>
          <w:p>
            <w:pPr>
              <w:pStyle w:val="TableHeading"/>
              <w:bidi w:val="0"/>
              <w:spacing w:before="0" w:after="283"/>
              <w:ind w:left="0" w:right="0" w:hanging="0"/>
              <w:rPr>
                <w:sz w:val="4"/>
                <w:szCs w:val="4"/>
              </w:rPr>
            </w:pPr>
            <w:r>
              <w:rPr>
                <w:sz w:val="4"/>
                <w:szCs w:val="4"/>
              </w:rPr>
            </w:r>
          </w:p>
        </w:tc>
      </w:tr>
      <w:tr>
        <w:trPr/>
        <w:tc>
          <w:tcPr>
            <w:tcW w:w="243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406" w:type="dxa"/>
            <w:tcBorders>
              <w:bottom w:val="single" w:sz="8" w:space="0" w:color="000000"/>
            </w:tcBorders>
            <w:tcMar>
              <w:bottom w:w="28" w:type="dxa"/>
            </w:tcMar>
            <w:vAlign w:val="center"/>
          </w:tcPr>
          <w:p>
            <w:pPr>
              <w:pStyle w:val="TableHeading"/>
              <w:bidi w:val="0"/>
              <w:spacing w:before="0" w:after="0"/>
              <w:ind w:left="0" w:right="0" w:hanging="0"/>
              <w:jc w:val="left"/>
              <w:rPr/>
            </w:pPr>
            <w:r>
              <w:rPr/>
              <w:t>  ​ ​ ​ ​</w:t>
            </w:r>
          </w:p>
        </w:tc>
        <w:tc>
          <w:tcPr>
            <w:tcW w:w="82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Trading</w:t>
            </w:r>
            <w:r>
              <w:rPr>
                <w:rFonts w:ascii="Times New Roman;Times;serif" w:hAnsi="Times New Roman;Times;serif"/>
                <w:b w:val="false"/>
                <w:sz w:val="16"/>
              </w:rPr>
              <w:br/>
            </w:r>
            <w:r>
              <w:rPr>
                <w:rFonts w:ascii="Times New Roman;Times;serif" w:hAnsi="Times New Roman;Times;serif"/>
                <w:b/>
                <w:sz w:val="16"/>
              </w:rPr>
              <w:t>Symbol(s)</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24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Name of each exchange</w:t>
            </w:r>
            <w:r>
              <w:rPr>
                <w:rFonts w:ascii="Times New Roman;Times;serif" w:hAnsi="Times New Roman;Times;serif"/>
                <w:b w:val="false"/>
                <w:sz w:val="16"/>
              </w:rPr>
              <w:br/>
            </w:r>
            <w:r>
              <w:rPr>
                <w:rFonts w:ascii="Times New Roman;Times;serif" w:hAnsi="Times New Roman;Times;serif"/>
                <w:b/>
                <w:sz w:val="16"/>
              </w:rPr>
              <w:t>on which registered</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Ordinary Shares,</w:t>
              <w:br/>
              <w:t>$0.00003881 par value per share</w:t>
            </w:r>
          </w:p>
        </w:tc>
        <w:tc>
          <w:tcPr>
            <w:tcW w:w="406" w:type="dxa"/>
            <w:tcBorders/>
            <w:vAlign w:val="center"/>
          </w:tcPr>
          <w:p>
            <w:pPr>
              <w:pStyle w:val="TableContents"/>
              <w:bidi w:val="0"/>
              <w:spacing w:before="0" w:after="24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MGTX</w:t>
            </w:r>
          </w:p>
        </w:tc>
        <w:tc>
          <w:tcPr>
            <w:tcW w:w="346" w:type="dxa"/>
            <w:tcBorders/>
            <w:vAlign w:val="center"/>
          </w:tcPr>
          <w:p>
            <w:pPr>
              <w:pStyle w:val="TableContents"/>
              <w:bidi w:val="0"/>
              <w:spacing w:before="0" w:after="240"/>
              <w:ind w:left="0" w:right="0" w:hanging="0"/>
              <w:jc w:val="left"/>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0"/>
        <w:ind w:left="0" w:right="0" w:hanging="0"/>
        <w:jc w:val="left"/>
        <w:rPr/>
      </w:pPr>
      <w:r>
        <w:rPr/>
        <w:t>​</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49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tbl>
      <w:tblPr>
        <w:tblW w:w="4803" w:type="dxa"/>
        <w:jc w:val="left"/>
        <w:tblInd w:w="0" w:type="dxa"/>
        <w:tblLayout w:type="fixed"/>
        <w:tblCellMar>
          <w:top w:w="0" w:type="dxa"/>
          <w:left w:w="0" w:type="dxa"/>
          <w:bottom w:w="0" w:type="dxa"/>
          <w:right w:w="0" w:type="dxa"/>
        </w:tblCellMar>
      </w:tblPr>
      <w:tblGrid>
        <w:gridCol w:w="1996"/>
        <w:gridCol w:w="346"/>
        <w:gridCol w:w="2461"/>
      </w:tblGrid>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4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Accelerated filer       ☐ </w:t>
            </w:r>
          </w:p>
        </w:tc>
      </w:tr>
      <w:tr>
        <w:trPr/>
        <w:tc>
          <w:tcPr>
            <w:tcW w:w="199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2461" w:type="dxa"/>
            <w:tcBorders/>
            <w:vAlign w:val="center"/>
          </w:tcPr>
          <w:p>
            <w:pPr>
              <w:pStyle w:val="TableContents"/>
              <w:bidi w:val="0"/>
              <w:spacing w:before="0" w:after="240"/>
              <w:ind w:left="0" w:right="0" w:hanging="0"/>
              <w:jc w:val="righ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346" w:type="dxa"/>
            <w:tcBorders/>
            <w:vAlign w:val="center"/>
          </w:tcPr>
          <w:p>
            <w:pPr>
              <w:pStyle w:val="TableContents"/>
              <w:bidi w:val="0"/>
              <w:spacing w:before="0" w:after="240"/>
              <w:ind w:left="0" w:right="0" w:hanging="0"/>
              <w:jc w:val="left"/>
              <w:rPr/>
            </w:pPr>
            <w:r>
              <w:rPr/>
              <w:t>​</w:t>
            </w:r>
          </w:p>
        </w:tc>
        <w:tc>
          <w:tcPr>
            <w:tcW w:w="2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Small reporting company        </w:t>
            </w:r>
            <w:r>
              <w:rPr>
                <w:rFonts w:ascii="Times New Roman;Times;serif" w:hAnsi="Times New Roman;Times;serif"/>
                <w:sz w:val="20"/>
              </w:rPr>
              <w:t>☒</w:t>
            </w:r>
          </w:p>
        </w:tc>
      </w:tr>
      <w:tr>
        <w:trPr/>
        <w:tc>
          <w:tcPr>
            <w:tcW w:w="199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2461" w:type="dxa"/>
            <w:tcBorders/>
            <w:vAlign w:val="center"/>
          </w:tcPr>
          <w:p>
            <w:pPr>
              <w:pStyle w:val="TableContents"/>
              <w:bidi w:val="0"/>
              <w:spacing w:before="0" w:after="240"/>
              <w:ind w:left="0" w:right="0" w:hanging="0"/>
              <w:jc w:val="right"/>
              <w:rPr/>
            </w:pPr>
            <w:r>
              <w:rPr/>
              <w:t>​</w:t>
            </w:r>
          </w:p>
        </w:tc>
      </w:tr>
      <w:tr>
        <w:trPr/>
        <w:tc>
          <w:tcPr>
            <w:tcW w:w="199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2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tLeast" w:line="142" w:before="0" w:after="0"/>
        <w:ind w:left="0" w:right="0" w:hanging="0"/>
        <w:jc w:val="left"/>
        <w:rPr/>
      </w:pPr>
      <w:r>
        <w:rPr/>
        <w:t>​</w:t>
      </w:r>
    </w:p>
    <w:p>
      <w:pPr>
        <w:pStyle w:val="TextBody"/>
        <w:bidi w:val="0"/>
        <w:spacing w:before="0" w:after="8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720"/>
        <w:jc w:val="both"/>
        <w:rPr>
          <w:rFonts w:ascii="Times New Roman;Times;serif" w:hAnsi="Times New Roman;Times;serif"/>
          <w:sz w:val="18"/>
        </w:rPr>
      </w:pPr>
      <w:r>
        <w:rPr>
          <w:rFonts w:ascii="Times New Roman;Times;serif" w:hAnsi="Times New Roman;Times;serif"/>
          <w:sz w:val="18"/>
        </w:rPr>
        <w:t xml:space="preserve">As of August 11, 2026, the registrant had 96,042,996 ordinary shares, $0.00003881 par value per share, outstanding.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_2f99aeaa_5265_4d42_9909_407a8853a64a"/>
      <w:bookmarkEnd w:id="29"/>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(the “Form 10-Q”) contains forward-looking statements within the meaning of the Private Securities Litigation Reform Act of 1995. All statements contained in this Form 10-Q that do not relate to matters of historical fact should be considered forward-looking statements, including, without limitation, statements regarding expectations regarding meetings with global regulatory authorities and the FDA, product pipeline, anticipated product benefits, goals and strategic transactions or priorities, product candidate development and status and expectations relating to clinical trials, growth expectations or targets, pre-clinical and clinical data expectations in respect of collaborations and expectations related to financing arrangements and the intended use of proceeds thereunder, as well as statements that include the words “expect,” “will,” “intend,” “plan,” “believe,” “project,” “forecast,” “estimate,” “may,” “could,” “should,” “would,” “continue,” “anticipate,” “eligible”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the important factors discussed under “Item 1A. Risk Factors” in this Form 10-Q. These and other important factors could cause actual results to differ materially from those indicated by the forward-looking statements made in this Form 10-Q. Any such forward-looking statements represent management’s estimates as of the date of this Form 10-Q. While we may elect to update such forward-looking statements at some point in the future, unless required by law, we disclaim any obligation to do so, even if subsequent events cause our views to change. Thus, one should not assume that our silence over time means that actual events are bearing out as expressed or implied in such forward-looking statements. These forward-looking statements should not be relied upon as representing our views as of any date subsequent to the date of this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providing the following summary of the principal risk factors contained in this Form 10-Q to enhance the readability and accessibility of our risk factor disclosures. We encourage you to carefully review in their entirety the full risk factors set forth in the section of this Form 10-Q captioned “Part II—Item 1A. Risk Factors” for additional information regarding the material factors that make an investment in our ordinary shares speculative or risky. These risks and uncertainties include,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inception and anticipate that we will incur continued losses for the foreseeable future, and may never achieve or maintain profitability.</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capital to fund our operations, which may not be available on acceptable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cash flows or cash on hand to satisfy our debt obligations or covenants under our financing arrangements, or we may not be able to effectively manage our business in compliance with such covenants.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review of potential strategic transactions may not result in an executed or consummated transaction or other strategic alternative and may not result in anticipated benefits to us or our shareholders, and the process of reviewing strategic transactions or its conclusion could be disruptive and distracting to our business operations and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dependent on the success of our product candidates, which are still in development, and if none of them receive regulatory approval or are successfully commercialized, our business may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time and cost of product candidate development on our novel gene therapy platform. A limited number of gene therapies have been approved in the United States or in Europe.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gene therapy is novel and the regulatory landscape that governs any product candidates we may develop is uncertain and may change, we cannot predict the time and cost of obtaining regulatory approval, if we receive it at all, for any product candidates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time-consuming, difficult to design and implement, and involve an uncertain outcome. Further, we may encounter substantial delays in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affected populations for our product candidates may be smaller than we or third parties currently project, which may affect the addressable markets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contract manufacturers for plasmid are subject to significant regulation with respect to manufacturing our products. Our manufacturing facilities and the third-party manufacturing facilities which we rely on may not continue to meet regulatory requirements and have limited capacity.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 and future healthcare legislation may increase the difficulty and cost for us to obtain marketing approval of and commercialize our product candidates and may affect the prices we may set.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regulation and other legal obligations relating to data privacy and protection. Compliance with these requirements is complex and costly.  The actual or perceived failure to comply with such obligations could materially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significant competition in an environment of rapid technological change, and there is a possibility that our competitors may achieve regulatory approval before us or develop therapies that are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safer or more advanced or effective than ours, which may harm our financial condition and our ability to successfully market or commercialize any product candidates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proprietary technology licensed from others. If we lose our existing licenses or are unable to acquire or license additional proprietary rights from third parties, we may not be able to continue developing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and maintain patent protection for our technology and product candidates or if the scope of the patent protection obtained is not sufficiently broad, we may not be able to compete effectively in our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increase or decrease the size of our organization, and we may experience difficulties in managing these organizational changes, which could disrupt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our key personnel and to attract, retain and motivate qualified personnel.</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Preliminary Notes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the context otherwise requires, references in this Form 10-Q to “MeiraGTx,” “we,” “us”, “our” or “the Company” refer to MeiraGTx Holdings plc and its subsidiaries.</w:t>
      </w:r>
    </w:p>
    <w:p>
      <w:pPr>
        <w:pStyle w:val="TextBody"/>
        <w:bidi w:val="0"/>
        <w:spacing w:before="0" w:after="240"/>
        <w:ind w:left="0" w:right="0" w:firstLine="72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proprietary rights to trademarks, trade names and service marks appearing in this Form 10-Q that are important to our business. Solely for convenience, the trademarks, trade names and service marks may appear in this Form 10-Q without the </w:t>
      </w:r>
      <w:r>
        <w:rPr>
          <w:rFonts w:ascii="Times New Roman;Times;serif" w:hAnsi="Times New Roman;Times;serif"/>
          <w:sz w:val="15"/>
        </w:rPr>
        <w:t>®</w:t>
      </w:r>
      <w:r>
        <w:rPr>
          <w:rFonts w:ascii="Times New Roman;Times;serif" w:hAnsi="Times New Roman;Times;serif"/>
          <w:sz w:val="20"/>
        </w:rPr>
        <w:t xml:space="preserve"> and TM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Form 10-Q are the property of their respective owners.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27f37357_0793_4540_aa16_9deaa2716546"/>
      <w:bookmarkStart w:id="31" w:name="TOC"/>
      <w:bookmarkEnd w:id="30"/>
      <w:bookmarkEnd w:id="31"/>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423" w:type="dxa"/>
        <w:jc w:val="left"/>
        <w:tblInd w:w="0" w:type="dxa"/>
        <w:tblLayout w:type="fixed"/>
        <w:tblCellMar>
          <w:top w:w="0" w:type="dxa"/>
          <w:left w:w="0" w:type="dxa"/>
          <w:bottom w:w="0" w:type="dxa"/>
          <w:right w:w="0" w:type="dxa"/>
        </w:tblCellMar>
      </w:tblPr>
      <w:tblGrid>
        <w:gridCol w:w="886"/>
        <w:gridCol w:w="7966"/>
        <w:gridCol w:w="571"/>
      </w:tblGrid>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86" w:type="dxa"/>
            <w:tcBorders/>
            <w:vAlign w:val="center"/>
          </w:tcPr>
          <w:p>
            <w:pPr>
              <w:pStyle w:val="TableContents"/>
              <w:bidi w:val="0"/>
              <w:spacing w:before="0" w:after="0"/>
              <w:ind w:left="0" w:right="0" w:hanging="0"/>
              <w:jc w:val="left"/>
              <w:rPr/>
            </w:pPr>
            <w:hyperlink w:anchor="PARTIFINANCIALINFORMATION_819042">
              <w:r>
                <w:rPr>
                  <w:rStyle w:val="InternetLink"/>
                  <w:rFonts w:ascii="Times New Roman;Times;serif" w:hAnsi="Times New Roman;Times;serif"/>
                  <w:b/>
                  <w:i w:val="false"/>
                  <w:caps w:val="false"/>
                  <w:smallCaps w:val="false"/>
                  <w:sz w:val="20"/>
                </w:rPr>
                <w:t>PART I.</w:t>
              </w:r>
            </w:hyperlink>
          </w:p>
        </w:tc>
        <w:tc>
          <w:tcPr>
            <w:tcW w:w="7966" w:type="dxa"/>
            <w:tcBorders/>
            <w:vAlign w:val="center"/>
          </w:tcPr>
          <w:p>
            <w:pPr>
              <w:pStyle w:val="TableContents"/>
              <w:bidi w:val="0"/>
              <w:spacing w:before="0" w:after="0"/>
              <w:ind w:left="0" w:right="0" w:hanging="0"/>
              <w:jc w:val="left"/>
              <w:rPr/>
            </w:pPr>
            <w:hyperlink w:anchor="PARTIFINANCIALINFORMATION_819042">
              <w:r>
                <w:rPr>
                  <w:rStyle w:val="InternetLink"/>
                  <w:rFonts w:ascii="Times New Roman;Times;serif" w:hAnsi="Times New Roman;Times;serif"/>
                  <w:b/>
                  <w:i w:val="false"/>
                  <w:caps w:val="false"/>
                  <w:smallCaps w:val="false"/>
                  <w:sz w:val="20"/>
                </w:rPr>
                <w:t>FINANCIAL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Item1FinancialStatements_806846">
              <w:r>
                <w:rPr>
                  <w:rStyle w:val="InternetLink"/>
                  <w:rFonts w:ascii="Times New Roman;Times;serif" w:hAnsi="Times New Roman;Times;serif"/>
                  <w:b w:val="false"/>
                  <w:i w:val="false"/>
                  <w:caps w:val="false"/>
                  <w:smallCaps w:val="false"/>
                  <w:sz w:val="20"/>
                </w:rPr>
                <w:t>Item 1.</w:t>
              </w:r>
            </w:hyperlink>
          </w:p>
        </w:tc>
        <w:tc>
          <w:tcPr>
            <w:tcW w:w="7966" w:type="dxa"/>
            <w:tcBorders/>
            <w:vAlign w:val="center"/>
          </w:tcPr>
          <w:p>
            <w:pPr>
              <w:pStyle w:val="TableContents"/>
              <w:bidi w:val="0"/>
              <w:spacing w:before="0" w:after="0"/>
              <w:ind w:left="0" w:right="0" w:hanging="0"/>
              <w:jc w:val="left"/>
              <w:rPr/>
            </w:pPr>
            <w:hyperlink w:anchor="Item1FinancialStatements_806846">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CONSOLIDATEDBALANCESHEETS_392522">
              <w:r>
                <w:rPr>
                  <w:rStyle w:val="InternetLink"/>
                  <w:rFonts w:ascii="Times New Roman;Times;serif" w:hAnsi="Times New Roman;Times;serif"/>
                  <w:b w:val="false"/>
                  <w:i w:val="false"/>
                  <w:caps w:val="false"/>
                  <w:smallCaps w:val="false"/>
                  <w:sz w:val="20"/>
                </w:rPr>
                <w:t>Condensed Consolidated Balance Sheets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COMPREHENSIVELOSS_182033">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CONDENSEDCONSOLIDATEDSTATEMENTOFSHAREHOL">
              <w:r>
                <w:rPr>
                  <w:rStyle w:val="InternetLink"/>
                  <w:rFonts w:ascii="Times New Roman;Times;serif" w:hAnsi="Times New Roman;Times;serif"/>
                  <w:b w:val="false"/>
                  <w:i w:val="false"/>
                  <w:caps w:val="false"/>
                  <w:smallCaps w:val="false"/>
                  <w:sz w:val="20"/>
                </w:rPr>
                <w:t xml:space="preserve">Condensed Consolidated Statement of Shareholders’ Equity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SHAREHOLDERSDEFICITEQUITY_618444">
              <w:r>
                <w:rPr>
                  <w:rStyle w:val="InternetLink"/>
                  <w:rFonts w:ascii="Times New Roman;Times;serif" w:hAnsi="Times New Roman;Times;serif"/>
                  <w:b w:val="false"/>
                  <w:i w:val="false"/>
                  <w:caps w:val="false"/>
                  <w:smallCaps w:val="false"/>
                  <w:sz w:val="20"/>
                </w:rPr>
                <w:t xml:space="preserve">Condensed Consolidated Statement of Shareholders’ Equity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STATEMENTSOFCASHFLOWS_138361">
              <w:r>
                <w:rPr>
                  <w:rStyle w:val="InternetLink"/>
                  <w:rFonts w:ascii="Times New Roman;Times;serif" w:hAnsi="Times New Roman;Times;serif"/>
                  <w:b w:val="false"/>
                  <w:i w:val="false"/>
                  <w:caps w:val="false"/>
                  <w:smallCaps w:val="false"/>
                  <w:sz w:val="20"/>
                </w:rPr>
                <w:t>Condensed Consolidated Statements of Cash Flows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8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9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8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9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86" w:type="dxa"/>
            <w:tcBorders/>
            <w:vAlign w:val="center"/>
          </w:tcPr>
          <w:p>
            <w:pPr>
              <w:pStyle w:val="TableContents"/>
              <w:bidi w:val="0"/>
              <w:spacing w:before="0" w:after="0"/>
              <w:ind w:left="0" w:right="0" w:hanging="0"/>
              <w:jc w:val="left"/>
              <w:rPr/>
            </w:pPr>
            <w:hyperlink w:anchor="Item4ControlsandProcedures_891132">
              <w:r>
                <w:rPr>
                  <w:rStyle w:val="InternetLink"/>
                  <w:rFonts w:ascii="Times New Roman;Times;serif" w:hAnsi="Times New Roman;Times;serif"/>
                  <w:b w:val="false"/>
                  <w:i w:val="false"/>
                  <w:caps w:val="false"/>
                  <w:smallCaps w:val="false"/>
                  <w:sz w:val="20"/>
                </w:rPr>
                <w:t>Item 4.</w:t>
              </w:r>
            </w:hyperlink>
          </w:p>
        </w:tc>
        <w:tc>
          <w:tcPr>
            <w:tcW w:w="7966" w:type="dxa"/>
            <w:tcBorders/>
            <w:vAlign w:val="center"/>
          </w:tcPr>
          <w:p>
            <w:pPr>
              <w:pStyle w:val="TableContents"/>
              <w:bidi w:val="0"/>
              <w:spacing w:before="0" w:after="0"/>
              <w:ind w:left="0" w:right="0" w:hanging="0"/>
              <w:jc w:val="left"/>
              <w:rPr/>
            </w:pPr>
            <w:hyperlink w:anchor="Item4ControlsandProcedures_891132">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PARTIIOTHERINFORMATION_341431">
              <w:r>
                <w:rPr>
                  <w:rStyle w:val="InternetLink"/>
                  <w:rFonts w:ascii="Times New Roman;Times;serif" w:hAnsi="Times New Roman;Times;serif"/>
                  <w:b/>
                  <w:i w:val="false"/>
                  <w:caps w:val="false"/>
                  <w:smallCaps w:val="false"/>
                  <w:sz w:val="20"/>
                </w:rPr>
                <w:t>PART II.</w:t>
              </w:r>
            </w:hyperlink>
          </w:p>
        </w:tc>
        <w:tc>
          <w:tcPr>
            <w:tcW w:w="7966" w:type="dxa"/>
            <w:tcBorders/>
            <w:vAlign w:val="center"/>
          </w:tcPr>
          <w:p>
            <w:pPr>
              <w:pStyle w:val="TableContents"/>
              <w:bidi w:val="0"/>
              <w:spacing w:before="0" w:after="0"/>
              <w:ind w:left="0" w:right="0" w:hanging="0"/>
              <w:jc w:val="left"/>
              <w:rPr/>
            </w:pPr>
            <w:hyperlink w:anchor="PARTIIOTHERINFORMATION_341431">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Item1LegalProceedings_709588">
              <w:r>
                <w:rPr>
                  <w:rStyle w:val="InternetLink"/>
                  <w:rFonts w:ascii="Times New Roman;Times;serif" w:hAnsi="Times New Roman;Times;serif"/>
                  <w:b w:val="false"/>
                  <w:i w:val="false"/>
                  <w:caps w:val="false"/>
                  <w:smallCaps w:val="false"/>
                  <w:sz w:val="20"/>
                </w:rPr>
                <w:t>Item 1.</w:t>
              </w:r>
            </w:hyperlink>
          </w:p>
        </w:tc>
        <w:tc>
          <w:tcPr>
            <w:tcW w:w="7966" w:type="dxa"/>
            <w:tcBorders/>
            <w:vAlign w:val="center"/>
          </w:tcPr>
          <w:p>
            <w:pPr>
              <w:pStyle w:val="TableContents"/>
              <w:bidi w:val="0"/>
              <w:spacing w:before="0" w:after="0"/>
              <w:ind w:left="0" w:right="0" w:hanging="0"/>
              <w:jc w:val="left"/>
              <w:rPr/>
            </w:pPr>
            <w:hyperlink w:anchor="Item1LegalProceedings_709588">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86" w:type="dxa"/>
            <w:tcBorders/>
            <w:vAlign w:val="center"/>
          </w:tcPr>
          <w:p>
            <w:pPr>
              <w:pStyle w:val="TableContents"/>
              <w:bidi w:val="0"/>
              <w:spacing w:before="0" w:after="0"/>
              <w:ind w:left="0" w:right="0" w:hanging="0"/>
              <w:jc w:val="left"/>
              <w:rPr/>
            </w:pPr>
            <w:hyperlink w:anchor="Item1ARiskFactors_220365">
              <w:r>
                <w:rPr>
                  <w:rStyle w:val="InternetLink"/>
                  <w:rFonts w:ascii="Times New Roman;Times;serif" w:hAnsi="Times New Roman;Times;serif"/>
                  <w:b w:val="false"/>
                  <w:i w:val="false"/>
                  <w:caps w:val="false"/>
                  <w:smallCaps w:val="false"/>
                  <w:sz w:val="20"/>
                </w:rPr>
                <w:t>Item 1A.</w:t>
              </w:r>
            </w:hyperlink>
          </w:p>
        </w:tc>
        <w:tc>
          <w:tcPr>
            <w:tcW w:w="7966" w:type="dxa"/>
            <w:tcBorders/>
            <w:vAlign w:val="center"/>
          </w:tcPr>
          <w:p>
            <w:pPr>
              <w:pStyle w:val="TableContents"/>
              <w:bidi w:val="0"/>
              <w:spacing w:before="0" w:after="0"/>
              <w:ind w:left="0" w:right="0" w:hanging="0"/>
              <w:jc w:val="left"/>
              <w:rPr/>
            </w:pPr>
            <w:hyperlink w:anchor="Item1ARiskFactors_220365">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8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9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86" w:type="dxa"/>
            <w:tcBorders/>
            <w:vAlign w:val="center"/>
          </w:tcPr>
          <w:p>
            <w:pPr>
              <w:pStyle w:val="TableContents"/>
              <w:bidi w:val="0"/>
              <w:spacing w:before="0" w:after="0"/>
              <w:ind w:left="0" w:right="0" w:hanging="0"/>
              <w:jc w:val="left"/>
              <w:rPr/>
            </w:pPr>
            <w:hyperlink w:anchor="Item3DefaultsUponSeniorSecurities_54116">
              <w:r>
                <w:rPr>
                  <w:rStyle w:val="InternetLink"/>
                  <w:rFonts w:ascii="Times New Roman;Times;serif" w:hAnsi="Times New Roman;Times;serif"/>
                  <w:b w:val="false"/>
                  <w:i w:val="false"/>
                  <w:caps w:val="false"/>
                  <w:smallCaps w:val="false"/>
                  <w:sz w:val="20"/>
                </w:rPr>
                <w:t>Item 3.</w:t>
              </w:r>
            </w:hyperlink>
          </w:p>
        </w:tc>
        <w:tc>
          <w:tcPr>
            <w:tcW w:w="7966" w:type="dxa"/>
            <w:tcBorders/>
            <w:vAlign w:val="center"/>
          </w:tcPr>
          <w:p>
            <w:pPr>
              <w:pStyle w:val="TableContents"/>
              <w:bidi w:val="0"/>
              <w:spacing w:before="0" w:after="0"/>
              <w:ind w:left="0" w:right="0" w:hanging="0"/>
              <w:jc w:val="left"/>
              <w:rPr/>
            </w:pPr>
            <w:hyperlink w:anchor="Item3DefaultsUponSeniorSecurities_5411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86" w:type="dxa"/>
            <w:tcBorders/>
            <w:vAlign w:val="center"/>
          </w:tcPr>
          <w:p>
            <w:pPr>
              <w:pStyle w:val="TableContents"/>
              <w:bidi w:val="0"/>
              <w:spacing w:before="0" w:after="0"/>
              <w:ind w:left="0" w:right="0" w:hanging="0"/>
              <w:jc w:val="left"/>
              <w:rPr/>
            </w:pPr>
            <w:hyperlink w:anchor="Item4MineSafetyDisclosures_51301">
              <w:r>
                <w:rPr>
                  <w:rStyle w:val="InternetLink"/>
                  <w:rFonts w:ascii="Times New Roman;Times;serif" w:hAnsi="Times New Roman;Times;serif"/>
                  <w:b w:val="false"/>
                  <w:i w:val="false"/>
                  <w:caps w:val="false"/>
                  <w:smallCaps w:val="false"/>
                  <w:sz w:val="20"/>
                </w:rPr>
                <w:t>Item 4.</w:t>
              </w:r>
            </w:hyperlink>
          </w:p>
        </w:tc>
        <w:tc>
          <w:tcPr>
            <w:tcW w:w="7966" w:type="dxa"/>
            <w:tcBorders/>
            <w:vAlign w:val="center"/>
          </w:tcPr>
          <w:p>
            <w:pPr>
              <w:pStyle w:val="TableContents"/>
              <w:bidi w:val="0"/>
              <w:spacing w:before="0" w:after="0"/>
              <w:ind w:left="0" w:right="0" w:hanging="0"/>
              <w:jc w:val="left"/>
              <w:rPr/>
            </w:pPr>
            <w:hyperlink w:anchor="Item4MineSafetyDisclosures_5130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86" w:type="dxa"/>
            <w:tcBorders/>
            <w:vAlign w:val="center"/>
          </w:tcPr>
          <w:p>
            <w:pPr>
              <w:pStyle w:val="TableContents"/>
              <w:bidi w:val="0"/>
              <w:spacing w:before="0" w:after="0"/>
              <w:ind w:left="0" w:right="0" w:hanging="0"/>
              <w:jc w:val="left"/>
              <w:rPr/>
            </w:pPr>
            <w:hyperlink w:anchor="Item5OtherInformation_145683">
              <w:r>
                <w:rPr>
                  <w:rStyle w:val="InternetLink"/>
                  <w:rFonts w:ascii="Times New Roman;Times;serif" w:hAnsi="Times New Roman;Times;serif"/>
                  <w:b w:val="false"/>
                  <w:i w:val="false"/>
                  <w:caps w:val="false"/>
                  <w:smallCaps w:val="false"/>
                  <w:sz w:val="20"/>
                </w:rPr>
                <w:t>Item 5.</w:t>
              </w:r>
            </w:hyperlink>
          </w:p>
        </w:tc>
        <w:tc>
          <w:tcPr>
            <w:tcW w:w="7966" w:type="dxa"/>
            <w:tcBorders/>
            <w:vAlign w:val="center"/>
          </w:tcPr>
          <w:p>
            <w:pPr>
              <w:pStyle w:val="TableContents"/>
              <w:bidi w:val="0"/>
              <w:spacing w:before="0" w:after="0"/>
              <w:ind w:left="0" w:right="0" w:hanging="0"/>
              <w:jc w:val="left"/>
              <w:rPr/>
            </w:pPr>
            <w:hyperlink w:anchor="Item5OtherInformation_145683">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86" w:type="dxa"/>
            <w:tcBorders/>
            <w:vAlign w:val="center"/>
          </w:tcPr>
          <w:p>
            <w:pPr>
              <w:pStyle w:val="TableContents"/>
              <w:bidi w:val="0"/>
              <w:spacing w:before="0" w:after="0"/>
              <w:ind w:left="0" w:right="0" w:hanging="0"/>
              <w:jc w:val="left"/>
              <w:rPr/>
            </w:pPr>
            <w:hyperlink w:anchor="Item6Exhibits_373262">
              <w:r>
                <w:rPr>
                  <w:rStyle w:val="InternetLink"/>
                  <w:rFonts w:ascii="Times New Roman;Times;serif" w:hAnsi="Times New Roman;Times;serif"/>
                  <w:b w:val="false"/>
                  <w:i w:val="false"/>
                  <w:caps w:val="false"/>
                  <w:smallCaps w:val="false"/>
                  <w:sz w:val="20"/>
                </w:rPr>
                <w:t>Item 6.</w:t>
              </w:r>
            </w:hyperlink>
          </w:p>
        </w:tc>
        <w:tc>
          <w:tcPr>
            <w:tcW w:w="7966" w:type="dxa"/>
            <w:tcBorders/>
            <w:vAlign w:val="center"/>
          </w:tcPr>
          <w:p>
            <w:pPr>
              <w:pStyle w:val="TableContents"/>
              <w:bidi w:val="0"/>
              <w:spacing w:before="0" w:after="0"/>
              <w:ind w:left="0" w:right="0" w:hanging="0"/>
              <w:jc w:val="left"/>
              <w:rPr/>
            </w:pPr>
            <w:hyperlink w:anchor="Item6Exhibits_373262">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88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hyperlink w:anchor="SIGNATURES_71538">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 w:name="PARTIFINANCIALINFORMATION_819042"/>
      <w:bookmarkStart w:id="33" w:name="_8f112d33_e7e5_4ce4_ad88_fd21844decec"/>
      <w:bookmarkEnd w:id="32"/>
      <w:bookmarkEnd w:id="33"/>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06846"/>
      <w:bookmarkEnd w:id="34"/>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bookmarkStart w:id="35" w:name="CONSOLIDATEDBALANCESHEETS_392522"/>
      <w:bookmarkEnd w:id="35"/>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6" w:name="Tc_uXGEU9tg1kix_hGSd53poA_49_5"/>
      <w:bookmarkStart w:id="37" w:name="Tc_ZcFooX95XEGM81W4n3zipw_49_2"/>
      <w:bookmarkStart w:id="38" w:name="Tc_xjvSrKFTsUSWYvtTWNTYiw_49_0"/>
      <w:bookmarkStart w:id="39" w:name="Tc_ZjUMZLwvtUm_T3JYWFjbMQ_48_0"/>
      <w:bookmarkStart w:id="40" w:name="Tc_DqD09Wn6n061cgdM-p8AOA_47_6"/>
      <w:bookmarkStart w:id="41" w:name="Tc_pGeJKSGU-UO6Z8A1zBCBcA_47_0"/>
      <w:bookmarkStart w:id="42" w:name="Tc_JoHsCTB510-x5v_K0phjvg_46_0"/>
      <w:bookmarkStart w:id="43" w:name="Tc_u6ynhL1sDkqyq3x-UjEQgg_45_0"/>
      <w:bookmarkStart w:id="44" w:name="Tc_UCC11KRDFkeI025I5YOYSw_44_6"/>
      <w:bookmarkStart w:id="45" w:name="Tc_HmgVP3z_PUyXqY_uyQMSoQ_44_0"/>
      <w:bookmarkStart w:id="46" w:name="Tc_Dv8kvfNxjUig8EDaDzOfuA_43_0"/>
      <w:bookmarkStart w:id="47" w:name="Tc_gktd81V1fkq1WARi4umNEw_42_0"/>
      <w:bookmarkStart w:id="48" w:name="Tc_ZWxVNif8RUiKG7D5JWQrQg_41_0"/>
      <w:bookmarkStart w:id="49" w:name="Tc_l78BLz6kcka1EcwuWDsRYg_40_0"/>
      <w:bookmarkStart w:id="50" w:name="Tc_DfG6icHkNE2hQkIA2wTOfg_39_0"/>
      <w:bookmarkStart w:id="51" w:name="Tc_Ivtj8QJgck6SIHaIBq1QhQ_38_0"/>
      <w:bookmarkStart w:id="52" w:name="Tc_B4V7fZI2L0uUPB6jbFlkGg_37_0"/>
      <w:bookmarkStart w:id="53" w:name="Tc_Buf9kE3SNUuBz-JjfflLjA_36_0"/>
      <w:bookmarkStart w:id="54" w:name="Tc_I-gtY0R_xk2frCoa8wGPEA_35_0"/>
      <w:bookmarkStart w:id="55" w:name="Tc_k6g51T4D6U-RownOlDj26g_34_0"/>
      <w:bookmarkStart w:id="56" w:name="Tc_TScVOvOQYk63x4kQgWOqgQ_33_0"/>
      <w:bookmarkStart w:id="57" w:name="Tc_MRAKrCJLsEqwDVFjDJdCcA_32_0"/>
      <w:bookmarkStart w:id="58" w:name="Tc_nliVD8-QskeVptUJg7OuOg_31_6"/>
      <w:bookmarkStart w:id="59" w:name="Tc_fbcmbBpQCkKC9zapKn0hAw_31_0"/>
      <w:bookmarkStart w:id="60" w:name="Tc_9GGm0g9ye02jo95R7tBTyg_30_3"/>
      <w:bookmarkStart w:id="61" w:name="Tc_J3BAW5gq90ecJr_7HEu1oA_30_0"/>
      <w:bookmarkStart w:id="62" w:name="Tc_020KYLJVQE-LPtn08WDhlQ_29_0"/>
      <w:bookmarkStart w:id="63" w:name="Tc_XiQ-jWUKcUOmIt2zkEzHfQ_28_6"/>
      <w:bookmarkStart w:id="64" w:name="Tc_CU5Cb4Bsu0iugP301ugL6A_28_0"/>
      <w:bookmarkStart w:id="65" w:name="Tc_cFMHmWWo5UCcJouoiDAmxw_27_0"/>
      <w:bookmarkStart w:id="66" w:name="Tc_PuqC6TXDkEK-EMKMm4bpTA_26_0"/>
      <w:bookmarkStart w:id="67" w:name="Tc_RXvRLD0ww0ut2vzfgayEzA_25_0"/>
      <w:bookmarkStart w:id="68" w:name="Tc_UZJTxPN8ok6rUeEyYWY75Q_24_5"/>
      <w:bookmarkStart w:id="69" w:name="Tc_1rG5Hl2hYUu0acJu9nJH0w_24_2"/>
      <w:bookmarkStart w:id="70" w:name="Tc_mLup5NLyeEGCe7cg0zOh8w_24_0"/>
      <w:bookmarkStart w:id="71" w:name="Tc_ARJNqxFRU0-6w9nLkqEBKg_23_0"/>
      <w:bookmarkStart w:id="72" w:name="Tc_h7OMqDtNVkmzb_Zs0y0TJg_22_0"/>
      <w:bookmarkStart w:id="73" w:name="Tc_BiEdP2RKD0uSzPYZAAAr4w_20_5"/>
      <w:bookmarkStart w:id="74" w:name="Tc_XzlPiuiJHkqWfrbvYXJArw_20_2"/>
      <w:bookmarkStart w:id="75" w:name="Tc_8aLKmSk-HkuMZ3pT8QRt9A_20_0"/>
      <w:bookmarkStart w:id="76" w:name="Tc_rjEX02RypEeeKxOgAw_a8w_19_0"/>
      <w:bookmarkStart w:id="77" w:name="Tc_nCQJaIkMa0KUmfip_uKsdw_18_0"/>
      <w:bookmarkStart w:id="78" w:name="Tc_iQ_LooEE-E-xhxTV6UhngQ_17_0"/>
      <w:bookmarkStart w:id="79" w:name="Tc_XI1gN2ZEOUSBPTioIYAuXw_16_0"/>
      <w:bookmarkStart w:id="80" w:name="Tc_MCDSyHWfbUyFpz2CSAfZyg_15_0"/>
      <w:bookmarkStart w:id="81" w:name="Tc_r3vQRQbNm0GvLpiIOKk7Rg_14_0"/>
      <w:bookmarkStart w:id="82" w:name="Tc_OY2EMmCuVkCPzc8k5yXsdw_13_0"/>
      <w:bookmarkStart w:id="83" w:name="Tc_rhflLDawNUW50ZfsGCywQw_12_0"/>
      <w:bookmarkStart w:id="84" w:name="Tc_qEsFzB26T0-Pl8oNBVgWDQ_11_0"/>
      <w:bookmarkStart w:id="85" w:name="Tc_8PI0Cshzw0WpRpe1TolXSw_10_0"/>
      <w:bookmarkStart w:id="86" w:name="Tc_bwEOjntwaUi0N0TFrGLDWw_9_0"/>
      <w:bookmarkStart w:id="87" w:name="Tc_PK3DwcEtAkiGJAu6hqm0kw_8_6"/>
      <w:bookmarkStart w:id="88" w:name="Tc_2pStdT45UU6rJd1hOuasQA_8_0"/>
      <w:bookmarkStart w:id="89" w:name="Tc_v8O8UuiCoUiTUku4js6hLQ_7_0"/>
      <w:bookmarkStart w:id="90" w:name="Tc_ounCgDIBFUK2J09Bv2XhHQ_6_6"/>
      <w:bookmarkStart w:id="91" w:name="Tc_v9Z4d8dP2U276UuV7gjA1A_6_0"/>
      <w:bookmarkStart w:id="92" w:name="Tc_uzLHf0TGx0Cbj7gWoDtHSg_5_5"/>
      <w:bookmarkStart w:id="93" w:name="Tc_g4ODN6FocUeYnzVzGcA3Ww_5_2"/>
      <w:bookmarkStart w:id="94" w:name="Tc_stMxjhVOCkm0t43hvxl1Xg_5_0"/>
      <w:bookmarkStart w:id="95" w:name="Tc_d5Wa9-4yCEuJrxEyLLapug_4_0"/>
      <w:bookmarkStart w:id="96" w:name="Tc_B6AF2lbgX0G5sXABniva9Q_3_0"/>
      <w:bookmarkStart w:id="97" w:name="Tc_CZTOS8HZxkOrVerj75wVUA_2_5"/>
      <w:bookmarkStart w:id="98" w:name="Tc_IDCTXnPRUk6jENhzmoRSGA_2_2"/>
      <w:bookmarkStart w:id="99" w:name="Tc_YAFuB7J1dUmV8YHTvN9iFg_1_5"/>
      <w:bookmarkStart w:id="100" w:name="Tc_bdikAyLiN0mdlT-RvrQrCA_1_2"/>
      <w:bookmarkStart w:id="101" w:name="_afde26c2_7664_4124_aa14_25eb60ef38da"/>
      <w:bookmarkStart w:id="102" w:name="Tc_uXGEU9tg1kix_hGSd53poA_49_5"/>
      <w:bookmarkStart w:id="103" w:name="Tc_ZcFooX95XEGM81W4n3zipw_49_2"/>
      <w:bookmarkStart w:id="104" w:name="Tc_xjvSrKFTsUSWYvtTWNTYiw_49_0"/>
      <w:bookmarkStart w:id="105" w:name="Tc_ZjUMZLwvtUm_T3JYWFjbMQ_48_0"/>
      <w:bookmarkStart w:id="106" w:name="Tc_DqD09Wn6n061cgdM-p8AOA_47_6"/>
      <w:bookmarkStart w:id="107" w:name="Tc_pGeJKSGU-UO6Z8A1zBCBcA_47_0"/>
      <w:bookmarkStart w:id="108" w:name="Tc_JoHsCTB510-x5v_K0phjvg_46_0"/>
      <w:bookmarkStart w:id="109" w:name="Tc_u6ynhL1sDkqyq3x-UjEQgg_45_0"/>
      <w:bookmarkStart w:id="110" w:name="Tc_UCC11KRDFkeI025I5YOYSw_44_6"/>
      <w:bookmarkStart w:id="111" w:name="Tc_HmgVP3z_PUyXqY_uyQMSoQ_44_0"/>
      <w:bookmarkStart w:id="112" w:name="Tc_Dv8kvfNxjUig8EDaDzOfuA_43_0"/>
      <w:bookmarkStart w:id="113" w:name="Tc_gktd81V1fkq1WARi4umNEw_42_0"/>
      <w:bookmarkStart w:id="114" w:name="Tc_ZWxVNif8RUiKG7D5JWQrQg_41_0"/>
      <w:bookmarkStart w:id="115" w:name="Tc_l78BLz6kcka1EcwuWDsRYg_40_0"/>
      <w:bookmarkStart w:id="116" w:name="Tc_DfG6icHkNE2hQkIA2wTOfg_39_0"/>
      <w:bookmarkStart w:id="117" w:name="Tc_Ivtj8QJgck6SIHaIBq1QhQ_38_0"/>
      <w:bookmarkStart w:id="118" w:name="Tc_B4V7fZI2L0uUPB6jbFlkGg_37_0"/>
      <w:bookmarkStart w:id="119" w:name="Tc_Buf9kE3SNUuBz-JjfflLjA_36_0"/>
      <w:bookmarkStart w:id="120" w:name="Tc_I-gtY0R_xk2frCoa8wGPEA_35_0"/>
      <w:bookmarkStart w:id="121" w:name="Tc_k6g51T4D6U-RownOlDj26g_34_0"/>
      <w:bookmarkStart w:id="122" w:name="Tc_TScVOvOQYk63x4kQgWOqgQ_33_0"/>
      <w:bookmarkStart w:id="123" w:name="Tc_MRAKrCJLsEqwDVFjDJdCcA_32_0"/>
      <w:bookmarkStart w:id="124" w:name="Tc_nliVD8-QskeVptUJg7OuOg_31_6"/>
      <w:bookmarkStart w:id="125" w:name="Tc_fbcmbBpQCkKC9zapKn0hAw_31_0"/>
      <w:bookmarkStart w:id="126" w:name="Tc_9GGm0g9ye02jo95R7tBTyg_30_3"/>
      <w:bookmarkStart w:id="127" w:name="Tc_J3BAW5gq90ecJr_7HEu1oA_30_0"/>
      <w:bookmarkStart w:id="128" w:name="Tc_020KYLJVQE-LPtn08WDhlQ_29_0"/>
      <w:bookmarkStart w:id="129" w:name="Tc_XiQ-jWUKcUOmIt2zkEzHfQ_28_6"/>
      <w:bookmarkStart w:id="130" w:name="Tc_CU5Cb4Bsu0iugP301ugL6A_28_0"/>
      <w:bookmarkStart w:id="131" w:name="Tc_cFMHmWWo5UCcJouoiDAmxw_27_0"/>
      <w:bookmarkStart w:id="132" w:name="Tc_PuqC6TXDkEK-EMKMm4bpTA_26_0"/>
      <w:bookmarkStart w:id="133" w:name="Tc_RXvRLD0ww0ut2vzfgayEzA_25_0"/>
      <w:bookmarkStart w:id="134" w:name="Tc_UZJTxPN8ok6rUeEyYWY75Q_24_5"/>
      <w:bookmarkStart w:id="135" w:name="Tc_1rG5Hl2hYUu0acJu9nJH0w_24_2"/>
      <w:bookmarkStart w:id="136" w:name="Tc_mLup5NLyeEGCe7cg0zOh8w_24_0"/>
      <w:bookmarkStart w:id="137" w:name="Tc_ARJNqxFRU0-6w9nLkqEBKg_23_0"/>
      <w:bookmarkStart w:id="138" w:name="Tc_h7OMqDtNVkmzb_Zs0y0TJg_22_0"/>
      <w:bookmarkStart w:id="139" w:name="Tc_BiEdP2RKD0uSzPYZAAAr4w_20_5"/>
      <w:bookmarkStart w:id="140" w:name="Tc_XzlPiuiJHkqWfrbvYXJArw_20_2"/>
      <w:bookmarkStart w:id="141" w:name="Tc_8aLKmSk-HkuMZ3pT8QRt9A_20_0"/>
      <w:bookmarkStart w:id="142" w:name="Tc_rjEX02RypEeeKxOgAw_a8w_19_0"/>
      <w:bookmarkStart w:id="143" w:name="Tc_nCQJaIkMa0KUmfip_uKsdw_18_0"/>
      <w:bookmarkStart w:id="144" w:name="Tc_iQ_LooEE-E-xhxTV6UhngQ_17_0"/>
      <w:bookmarkStart w:id="145" w:name="Tc_XI1gN2ZEOUSBPTioIYAuXw_16_0"/>
      <w:bookmarkStart w:id="146" w:name="Tc_MCDSyHWfbUyFpz2CSAfZyg_15_0"/>
      <w:bookmarkStart w:id="147" w:name="Tc_r3vQRQbNm0GvLpiIOKk7Rg_14_0"/>
      <w:bookmarkStart w:id="148" w:name="Tc_OY2EMmCuVkCPzc8k5yXsdw_13_0"/>
      <w:bookmarkStart w:id="149" w:name="Tc_rhflLDawNUW50ZfsGCywQw_12_0"/>
      <w:bookmarkStart w:id="150" w:name="Tc_qEsFzB26T0-Pl8oNBVgWDQ_11_0"/>
      <w:bookmarkStart w:id="151" w:name="Tc_8PI0Cshzw0WpRpe1TolXSw_10_0"/>
      <w:bookmarkStart w:id="152" w:name="Tc_bwEOjntwaUi0N0TFrGLDWw_9_0"/>
      <w:bookmarkStart w:id="153" w:name="Tc_PK3DwcEtAkiGJAu6hqm0kw_8_6"/>
      <w:bookmarkStart w:id="154" w:name="Tc_2pStdT45UU6rJd1hOuasQA_8_0"/>
      <w:bookmarkStart w:id="155" w:name="Tc_v8O8UuiCoUiTUku4js6hLQ_7_0"/>
      <w:bookmarkStart w:id="156" w:name="Tc_ounCgDIBFUK2J09Bv2XhHQ_6_6"/>
      <w:bookmarkStart w:id="157" w:name="Tc_v9Z4d8dP2U276UuV7gjA1A_6_0"/>
      <w:bookmarkStart w:id="158" w:name="Tc_uzLHf0TGx0Cbj7gWoDtHSg_5_5"/>
      <w:bookmarkStart w:id="159" w:name="Tc_g4ODN6FocUeYnzVzGcA3Ww_5_2"/>
      <w:bookmarkStart w:id="160" w:name="Tc_stMxjhVOCkm0t43hvxl1Xg_5_0"/>
      <w:bookmarkStart w:id="161" w:name="Tc_d5Wa9-4yCEuJrxEyLLapug_4_0"/>
      <w:bookmarkStart w:id="162" w:name="Tc_B6AF2lbgX0G5sXABniva9Q_3_0"/>
      <w:bookmarkStart w:id="163" w:name="Tc_CZTOS8HZxkOrVerj75wVUA_2_5"/>
      <w:bookmarkStart w:id="164" w:name="Tc_IDCTXnPRUk6jENhzmoRSGA_2_2"/>
      <w:bookmarkStart w:id="165" w:name="Tc_YAFuB7J1dUmV8YHTvN9iFg_1_5"/>
      <w:bookmarkStart w:id="166" w:name="Tc_bdikAyLiN0mdlT-RvrQrCA_1_2"/>
      <w:bookmarkStart w:id="167" w:name="_afde26c2_7664_4124_aa14_25eb60ef38da"/>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tbl>
      <w:tblPr>
        <w:tblW w:w="10205" w:type="dxa"/>
        <w:jc w:val="left"/>
        <w:tblInd w:w="0" w:type="dxa"/>
        <w:tblLayout w:type="fixed"/>
        <w:tblCellMar>
          <w:top w:w="0" w:type="dxa"/>
          <w:left w:w="0" w:type="dxa"/>
          <w:bottom w:w="0" w:type="dxa"/>
          <w:right w:w="0" w:type="dxa"/>
        </w:tblCellMar>
      </w:tblPr>
      <w:tblGrid>
        <w:gridCol w:w="7393"/>
        <w:gridCol w:w="346"/>
        <w:gridCol w:w="196"/>
        <w:gridCol w:w="781"/>
        <w:gridCol w:w="346"/>
        <w:gridCol w:w="224"/>
        <w:gridCol w:w="919"/>
      </w:tblGrid>
      <w:tr>
        <w:trPr/>
        <w:tc>
          <w:tcPr>
            <w:tcW w:w="7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94555" cy="175260"/>
                      <wp:effectExtent l="0" t="0" r="0" b="0"/>
                      <wp:wrapNone/>
                      <wp:docPr id="1" name="Frame1"/>
                      <a:graphic xmlns:a="http://schemas.openxmlformats.org/drawingml/2006/main">
                        <a:graphicData uri="http://schemas.microsoft.com/office/word/2010/wordprocessingShape">
                          <wps:wsp>
                            <wps:cNvSpPr txBox="1"/>
                            <wps:spPr>
                              <a:xfrm>
                                <a:off x="0" y="0"/>
                                <a:ext cx="4694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240" cy="175260"/>
                      <wp:effectExtent l="0" t="0" r="0" b="0"/>
                      <wp:wrapNone/>
                      <wp:docPr id="6" name="Frame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3565" cy="175260"/>
                      <wp:effectExtent l="0" t="0" r="0" b="0"/>
                      <wp:wrapNone/>
                      <wp:docPr id="7" name="Frame7"/>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30, </w:t>
            </w:r>
          </w:p>
        </w:tc>
        <w:tc>
          <w:tcPr>
            <w:tcW w:w="346" w:type="dxa"/>
            <w:tcBorders/>
            <w:vAlign w:val="center"/>
          </w:tcPr>
          <w:p>
            <w:pPr>
              <w:pStyle w:val="TableContents"/>
              <w:bidi w:val="0"/>
              <w:spacing w:before="0" w:after="1"/>
              <w:ind w:left="0" w:right="0" w:hanging="0"/>
              <w:jc w:val="left"/>
              <w:rPr/>
            </w:pPr>
            <w:r>
              <w:rPr/>
              <w:t>​</w:t>
            </w:r>
          </w:p>
        </w:tc>
        <w:tc>
          <w:tcPr>
            <w:tcW w:w="1143"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w:t>
            </w:r>
          </w:p>
        </w:tc>
      </w:tr>
      <w:tr>
        <w:trPr/>
        <w:tc>
          <w:tcPr>
            <w:tcW w:w="73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2026</w:t>
            </w:r>
          </w:p>
        </w:tc>
        <w:tc>
          <w:tcPr>
            <w:tcW w:w="346" w:type="dxa"/>
            <w:tcBorders/>
            <w:vAlign w:val="center"/>
          </w:tcPr>
          <w:p>
            <w:pPr>
              <w:pStyle w:val="TableContents"/>
              <w:bidi w:val="0"/>
              <w:spacing w:before="0" w:after="1"/>
              <w:ind w:left="0" w:right="0" w:hanging="0"/>
              <w:jc w:val="left"/>
              <w:rPr/>
            </w:pPr>
            <w:r>
              <w:rPr/>
              <w:t>  ​ ​ ​</w:t>
            </w:r>
          </w:p>
        </w:tc>
        <w:tc>
          <w:tcPr>
            <w:tcW w:w="11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2025</w:t>
            </w:r>
          </w:p>
        </w:tc>
      </w:tr>
      <w:tr>
        <w:trPr/>
        <w:tc>
          <w:tcPr>
            <w:tcW w:w="739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  ​</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143,166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65,931</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3,176</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Unbilled receivables -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24,364</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6,017</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incentive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14,286</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15,286</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26,928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1,527</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218,347</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91,761</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100,333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105,465</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2,262</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1,362</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method and other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39,838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6,749</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 operating leases,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11,524</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12,852</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 finance leases,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22,424</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23,616</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396,449</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244,430</w:t>
            </w:r>
          </w:p>
        </w:tc>
      </w:tr>
      <w:tr>
        <w:trPr/>
        <w:tc>
          <w:tcPr>
            <w:tcW w:w="739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r>
      <w:tr>
        <w:trPr/>
        <w:tc>
          <w:tcPr>
            <w:tcW w:w="739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LIABILITIES AND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pPr>
            <w:r>
              <w:rPr/>
              <w:t>​</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11,668</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10,066</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21,225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32,893</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obligations - operating leases,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2,260</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2,851</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obligations - finance leases,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 related party,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1,776</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Note payable, net,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24,648</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15,106</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50,283</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58,096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122,555</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11,101</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65,120</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obligations -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11,351</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obligations - finance leases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1,399</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Note payable,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49,689</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180,668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250,223</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(Note 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pPr>
            <w:r>
              <w:rPr/>
              <w:t>  ​</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Ordinary Shares, $0.00003881</w:t>
            </w:r>
            <w:r>
              <w:rPr>
                <w:rFonts w:ascii="Times New Roman;Times;serif" w:hAnsi="Times New Roman;Times;serif"/>
                <w:sz w:val="20"/>
              </w:rPr>
              <w:t xml:space="preserve"> </w:t>
            </w:r>
            <w:r>
              <w:rPr>
                <w:rFonts w:ascii="Times New Roman;Times;serif" w:hAnsi="Times New Roman;Times;serif"/>
                <w:sz w:val="16"/>
              </w:rPr>
              <w:t>par value, 1,288,327,750</w:t>
            </w:r>
            <w:r>
              <w:rPr>
                <w:rFonts w:ascii="Times New Roman;Times;serif" w:hAnsi="Times New Roman;Times;serif"/>
                <w:sz w:val="20"/>
              </w:rPr>
              <w:t xml:space="preserve"> </w:t>
            </w:r>
            <w:r>
              <w:rPr>
                <w:rFonts w:ascii="Times New Roman;Times;serif" w:hAnsi="Times New Roman;Times;serif"/>
                <w:sz w:val="16"/>
              </w:rPr>
              <w:t>authorized, 94,188,118</w:t>
            </w:r>
            <w:r>
              <w:rPr>
                <w:rFonts w:ascii="Times New Roman;Times;serif" w:hAnsi="Times New Roman;Times;serif"/>
                <w:sz w:val="20"/>
              </w:rPr>
              <w:t xml:space="preserve"> </w:t>
            </w:r>
            <w:r>
              <w:rPr>
                <w:rFonts w:ascii="Times New Roman;Times;serif" w:hAnsi="Times New Roman;Times;serif"/>
                <w:sz w:val="16"/>
              </w:rPr>
              <w:t>and 81,120,931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in excess of par value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932,323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808,021</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shares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(18,193)</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gain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2,406</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(701,816)</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(816,223)</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Shareholders'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215,781</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(5,793)</w:t>
            </w:r>
          </w:p>
        </w:tc>
      </w:tr>
      <w:tr>
        <w:trP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SHAREHOLDERS'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396,449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244,430</w:t>
            </w:r>
          </w:p>
        </w:tc>
      </w:tr>
    </w:tbl>
    <w:p>
      <w:pPr>
        <w:pStyle w:val="TextBody"/>
        <w:bidi w:val="0"/>
        <w:spacing w:before="0" w:after="24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8" w:name="_e3fd8a1b_2934_45c3_9a2b_738a541360f4"/>
      <w:bookmarkEnd w:id="168"/>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bookmarkStart w:id="169" w:name="COMPREHENSIVELOSS_182033"/>
      <w:bookmarkEnd w:id="169"/>
      <w:r>
        <w:rPr>
          <w:rFonts w:ascii="Times New Roman;Times;serif" w:hAnsi="Times New Roman;Times;serif"/>
          <w:b/>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70" w:name="Tc_Qzc5rkqxOkWkZGCUl2Cb4w_41_0"/>
      <w:bookmarkStart w:id="171" w:name="Tc_bAmoqXYjNUav3iQTm7A0uQ_40_0"/>
      <w:bookmarkStart w:id="172" w:name="Tc_hrhEgfRIZ0Ky9jFTZ9Jh_A_39_0"/>
      <w:bookmarkStart w:id="173" w:name="Tc_p_67cSBg0E2ILCy7MIppXw_37_11"/>
      <w:bookmarkStart w:id="174" w:name="Tc_dr_n9MC_DUC-9DgYAzhM-A_37_8"/>
      <w:bookmarkStart w:id="175" w:name="Tc_5hRfdNkYvkS08A2EoiFd6A_37_5"/>
      <w:bookmarkStart w:id="176" w:name="Tc_A_xP6FFqi0uZsCYA5BA4Qw_37_2"/>
      <w:bookmarkStart w:id="177" w:name="Tc_lT1M8iq4Ykm7UQ0WgUCcMA_37_0"/>
      <w:bookmarkStart w:id="178" w:name="Tc_6paMCIfxlEKlm_MqlwnW_Q_36_11"/>
      <w:bookmarkStart w:id="179" w:name="Tc_Xw0tUSz9BEGtHm4P9KlB4g_36_8"/>
      <w:bookmarkStart w:id="180" w:name="Tc_sOxK17alWUaGMdG7UjL1kg_36_5"/>
      <w:bookmarkStart w:id="181" w:name="Tc_bBBMcim9RUuRxxLjy_yQjw_36_2"/>
      <w:bookmarkStart w:id="182" w:name="Tc_d7-ZnNQYB0CvQmOHIi4imQ_36_0"/>
      <w:bookmarkStart w:id="183" w:name="Tc_7VYI9-4dH02gxsJGAZolpw_35_0"/>
      <w:bookmarkStart w:id="184" w:name="Tc_BrUtiC1pqUmywo5b928H3A_33_11"/>
      <w:bookmarkStart w:id="185" w:name="Tc_jn7FAr13T0ajQF7zlV_7JA_33_8"/>
      <w:bookmarkStart w:id="186" w:name="Tc_vDLlOv-S4EWk4LqdLw889Q_33_5"/>
      <w:bookmarkStart w:id="187" w:name="Tc_Zo-DVmJILUmVTYYUJDJCGQ_33_2"/>
      <w:bookmarkStart w:id="188" w:name="Tc_juEdeQPvgkS0kk7Vs8F1ag_33_0"/>
      <w:bookmarkStart w:id="189" w:name="Tc_bp3yyB_2YU2DGby9g5dkug_32_12"/>
      <w:bookmarkStart w:id="190" w:name="Tc_KMWhaRZ4y0qt_EgJ0e7kTg_32_6"/>
      <w:bookmarkStart w:id="191" w:name="Tc_9mkyBHPT_kWaq0GAVn_MXQ_32_0"/>
      <w:bookmarkStart w:id="192" w:name="Tc_WhWM3d1r5karf1fJOM3oRA_31_0"/>
      <w:bookmarkStart w:id="193" w:name="Tc_sgf_5v4gAku33wn1iyv3rg_30_0"/>
      <w:bookmarkStart w:id="194" w:name="Tc_i-aTwPem4kOz8IiBtUFhdw_28_11"/>
      <w:bookmarkStart w:id="195" w:name="Tc_LQ3aMbDzFUmE2mupR5Up1g_28_8"/>
      <w:bookmarkStart w:id="196" w:name="Tc_bwHdW2KZ2kWU57fhaeh4Hw_28_5"/>
      <w:bookmarkStart w:id="197" w:name="Tc_kVEOW3SALUCpw-W0prj2rw_28_2"/>
      <w:bookmarkStart w:id="198" w:name="Tc_6G20mKC3ik-r6jMVHTmlTA_28_0"/>
      <w:bookmarkStart w:id="199" w:name="Tc_jKuALxTH2UaciYHPTPFa_A_27_12"/>
      <w:bookmarkStart w:id="200" w:name="Tc_pgVhQB_03kiqpESDjv1WBA_27_6"/>
      <w:bookmarkStart w:id="201" w:name="Tc_-C5Rvyy0ZEWL2OmdwPFZcQ_27_0"/>
      <w:bookmarkStart w:id="202" w:name="Tc_dS7EdxBVt0mmPU6bxpvDfg_26_0"/>
      <w:bookmarkStart w:id="203" w:name="Tc_OKksAnM7rEO8uxVwYu5C-w_25_0"/>
      <w:bookmarkStart w:id="204" w:name="Tc_o6iEf1_pJEW-Ly0ba9k9Dg_23_11"/>
      <w:bookmarkStart w:id="205" w:name="Tc_ryQ4UJRW50K_5ZzboDZjkw_23_8"/>
      <w:bookmarkStart w:id="206" w:name="Tc_ca7UCLNRQU-gHAAAkPGSPw_23_5"/>
      <w:bookmarkStart w:id="207" w:name="Tc_6_R54QbQyEqMckPP7qHyjQ_23_2"/>
      <w:bookmarkStart w:id="208" w:name="Tc_ELdYIeGg20eGmaDPFtDDyQ_23_0"/>
      <w:bookmarkStart w:id="209" w:name="Tc_3Qjm1JjzZEC45EEEX4aA1g_22_12"/>
      <w:bookmarkStart w:id="210" w:name="Tc_FFqSGsINg0OB1l1EV5_5QA_22_6"/>
      <w:bookmarkStart w:id="211" w:name="Tc__c4S-abN6U-py4UKZZGK9A_22_0"/>
      <w:bookmarkStart w:id="212" w:name="Tc_uNH4-LhZyUKGTX_MPlnjqg_21_12"/>
      <w:bookmarkStart w:id="213" w:name="Tc_yBEn4eQ0ZUunqIqeH0YTJQ_21_6"/>
      <w:bookmarkStart w:id="214" w:name="Tc_NkDEYog6yUWeBQpTnIHqwQ_21_0"/>
      <w:bookmarkStart w:id="215" w:name="Tc_nFJrSBZJW0eonUgoXbv1lA_20_12"/>
      <w:bookmarkStart w:id="216" w:name="Tc_CbUW1jSfLU6SssHW8Ss56w_20_6"/>
      <w:bookmarkStart w:id="217" w:name="Tc_2YFR6cw3JUq2zGnrnpEqiw_20_0"/>
      <w:bookmarkStart w:id="218" w:name="Tc_qIUBeRqnD0-n3CfDLRPLzA_19_0"/>
      <w:bookmarkStart w:id="219" w:name="Tc_t6lUkhqcE0K1q5LIvyLFrg_18_0"/>
      <w:bookmarkStart w:id="220" w:name="Tc_5CQqVV4bIk6XJUERkpX4dA_17_0"/>
      <w:bookmarkStart w:id="221" w:name="Tc_L_Drexbt7k2jUv6CGlTavA_16_0"/>
      <w:bookmarkStart w:id="222" w:name="Tc_R3jNG63C3EioKB_vY62-ig_15_0"/>
      <w:bookmarkStart w:id="223" w:name="Tc_PKPPqZHxmk6a56R8QqlWuA_14_0"/>
      <w:bookmarkStart w:id="224" w:name="Tc_DEPZDcF7D0m1jeoyI8Ajtg_13_0"/>
      <w:bookmarkStart w:id="225" w:name="Tc_0mJDtu7ktUij_8KutRn0wg_12_0"/>
      <w:bookmarkStart w:id="226" w:name="Tc_amDG9MEn_EWnUZwQ558qJQ_11_0"/>
      <w:bookmarkStart w:id="227" w:name="Tc_-luQRNmrIUmfa-eSuzVddw_10_12"/>
      <w:bookmarkStart w:id="228" w:name="Tc_W2z72s3YC0iGatlqBCklzA_10_6"/>
      <w:bookmarkStart w:id="229" w:name="Tc_cIj46HJhnk6CdPN7CWDlTA_10_0"/>
      <w:bookmarkStart w:id="230" w:name="Tc_9jX184uTAEWW0nGxicZyvQ_9_0"/>
      <w:bookmarkStart w:id="231" w:name="Tc_OZOcBNbzyEy9Oio2SayqNg_8_0"/>
      <w:bookmarkStart w:id="232" w:name="Tc_48luE0FoRkWgnqrxgbxX3Q_7_12"/>
      <w:bookmarkStart w:id="233" w:name="Tc_P0LnA0eHg0aPiXBy1bM1KA_7_6"/>
      <w:bookmarkStart w:id="234" w:name="Tc_RDqkxgY8Pkm4SXh-Nk8xZg_7_0"/>
      <w:bookmarkStart w:id="235" w:name="Tc_t5D5I-UUpU2vul3lcyGuHA_6_0"/>
      <w:bookmarkStart w:id="236" w:name="Tc_08MDml4hM0SXJe7hOlKacA_5_12"/>
      <w:bookmarkStart w:id="237" w:name="Tc_he4rT-3l0UGZ9KXwW_WPXg_5_11"/>
      <w:bookmarkStart w:id="238" w:name="Tc_PgMjfaVoc0-__9669JUeNQ_5_8"/>
      <w:bookmarkStart w:id="239" w:name="Tc_6YKVDGt_4k2TItrxzKDQpg_5_6"/>
      <w:bookmarkStart w:id="240" w:name="Tc_3VKgvNpFIkSrMHJDcSpdLg_5_5"/>
      <w:bookmarkStart w:id="241" w:name="Tc_UfZpo5qCNUatVdWYjDp89g_5_2"/>
      <w:bookmarkStart w:id="242" w:name="Tc_yKvY0eGn302TmrAiupmi0Q_5_0"/>
      <w:bookmarkStart w:id="243" w:name="Tc_zxGRUBjCaEqmZ60tTPPWdg_4_0"/>
      <w:bookmarkStart w:id="244" w:name="Tc_xOx1hCA7HkWG94aWZvpv0g_2_11"/>
      <w:bookmarkStart w:id="245" w:name="Tc_wvzyf29T7UCUneoF-xO_4Q_2_8"/>
      <w:bookmarkStart w:id="246" w:name="Tc_lqefUBEJvkeq__5YkaZJkQ_2_5"/>
      <w:bookmarkStart w:id="247" w:name="Tc_r538aD8QcEK49zuOgGLCFg_2_2"/>
      <w:bookmarkStart w:id="248" w:name="Tc_AljnvTVlTEqq0mmtRmuo2w_1_8"/>
      <w:bookmarkStart w:id="249" w:name="Tc_7z5BV_h2m0-3-EgQDohuIg_1_2"/>
      <w:bookmarkStart w:id="250" w:name="_b27a3dd8_a9e9_4643_887c_37f9ab6dc018"/>
      <w:bookmarkStart w:id="251" w:name="Tc_Qzc5rkqxOkWkZGCUl2Cb4w_41_0"/>
      <w:bookmarkStart w:id="252" w:name="Tc_bAmoqXYjNUav3iQTm7A0uQ_40_0"/>
      <w:bookmarkStart w:id="253" w:name="Tc_hrhEgfRIZ0Ky9jFTZ9Jh_A_39_0"/>
      <w:bookmarkStart w:id="254" w:name="Tc_p_67cSBg0E2ILCy7MIppXw_37_11"/>
      <w:bookmarkStart w:id="255" w:name="Tc_dr_n9MC_DUC-9DgYAzhM-A_37_8"/>
      <w:bookmarkStart w:id="256" w:name="Tc_5hRfdNkYvkS08A2EoiFd6A_37_5"/>
      <w:bookmarkStart w:id="257" w:name="Tc_A_xP6FFqi0uZsCYA5BA4Qw_37_2"/>
      <w:bookmarkStart w:id="258" w:name="Tc_lT1M8iq4Ykm7UQ0WgUCcMA_37_0"/>
      <w:bookmarkStart w:id="259" w:name="Tc_6paMCIfxlEKlm_MqlwnW_Q_36_11"/>
      <w:bookmarkStart w:id="260" w:name="Tc_Xw0tUSz9BEGtHm4P9KlB4g_36_8"/>
      <w:bookmarkStart w:id="261" w:name="Tc_sOxK17alWUaGMdG7UjL1kg_36_5"/>
      <w:bookmarkStart w:id="262" w:name="Tc_bBBMcim9RUuRxxLjy_yQjw_36_2"/>
      <w:bookmarkStart w:id="263" w:name="Tc_d7-ZnNQYB0CvQmOHIi4imQ_36_0"/>
      <w:bookmarkStart w:id="264" w:name="Tc_7VYI9-4dH02gxsJGAZolpw_35_0"/>
      <w:bookmarkStart w:id="265" w:name="Tc_BrUtiC1pqUmywo5b928H3A_33_11"/>
      <w:bookmarkStart w:id="266" w:name="Tc_jn7FAr13T0ajQF7zlV_7JA_33_8"/>
      <w:bookmarkStart w:id="267" w:name="Tc_vDLlOv-S4EWk4LqdLw889Q_33_5"/>
      <w:bookmarkStart w:id="268" w:name="Tc_Zo-DVmJILUmVTYYUJDJCGQ_33_2"/>
      <w:bookmarkStart w:id="269" w:name="Tc_juEdeQPvgkS0kk7Vs8F1ag_33_0"/>
      <w:bookmarkStart w:id="270" w:name="Tc_bp3yyB_2YU2DGby9g5dkug_32_12"/>
      <w:bookmarkStart w:id="271" w:name="Tc_KMWhaRZ4y0qt_EgJ0e7kTg_32_6"/>
      <w:bookmarkStart w:id="272" w:name="Tc_9mkyBHPT_kWaq0GAVn_MXQ_32_0"/>
      <w:bookmarkStart w:id="273" w:name="Tc_WhWM3d1r5karf1fJOM3oRA_31_0"/>
      <w:bookmarkStart w:id="274" w:name="Tc_sgf_5v4gAku33wn1iyv3rg_30_0"/>
      <w:bookmarkStart w:id="275" w:name="Tc_i-aTwPem4kOz8IiBtUFhdw_28_11"/>
      <w:bookmarkStart w:id="276" w:name="Tc_LQ3aMbDzFUmE2mupR5Up1g_28_8"/>
      <w:bookmarkStart w:id="277" w:name="Tc_bwHdW2KZ2kWU57fhaeh4Hw_28_5"/>
      <w:bookmarkStart w:id="278" w:name="Tc_kVEOW3SALUCpw-W0prj2rw_28_2"/>
      <w:bookmarkStart w:id="279" w:name="Tc_6G20mKC3ik-r6jMVHTmlTA_28_0"/>
      <w:bookmarkStart w:id="280" w:name="Tc_jKuALxTH2UaciYHPTPFa_A_27_12"/>
      <w:bookmarkStart w:id="281" w:name="Tc_pgVhQB_03kiqpESDjv1WBA_27_6"/>
      <w:bookmarkStart w:id="282" w:name="Tc_-C5Rvyy0ZEWL2OmdwPFZcQ_27_0"/>
      <w:bookmarkStart w:id="283" w:name="Tc_dS7EdxBVt0mmPU6bxpvDfg_26_0"/>
      <w:bookmarkStart w:id="284" w:name="Tc_OKksAnM7rEO8uxVwYu5C-w_25_0"/>
      <w:bookmarkStart w:id="285" w:name="Tc_o6iEf1_pJEW-Ly0ba9k9Dg_23_11"/>
      <w:bookmarkStart w:id="286" w:name="Tc_ryQ4UJRW50K_5ZzboDZjkw_23_8"/>
      <w:bookmarkStart w:id="287" w:name="Tc_ca7UCLNRQU-gHAAAkPGSPw_23_5"/>
      <w:bookmarkStart w:id="288" w:name="Tc_6_R54QbQyEqMckPP7qHyjQ_23_2"/>
      <w:bookmarkStart w:id="289" w:name="Tc_ELdYIeGg20eGmaDPFtDDyQ_23_0"/>
      <w:bookmarkStart w:id="290" w:name="Tc_3Qjm1JjzZEC45EEEX4aA1g_22_12"/>
      <w:bookmarkStart w:id="291" w:name="Tc_FFqSGsINg0OB1l1EV5_5QA_22_6"/>
      <w:bookmarkStart w:id="292" w:name="Tc__c4S-abN6U-py4UKZZGK9A_22_0"/>
      <w:bookmarkStart w:id="293" w:name="Tc_uNH4-LhZyUKGTX_MPlnjqg_21_12"/>
      <w:bookmarkStart w:id="294" w:name="Tc_yBEn4eQ0ZUunqIqeH0YTJQ_21_6"/>
      <w:bookmarkStart w:id="295" w:name="Tc_NkDEYog6yUWeBQpTnIHqwQ_21_0"/>
      <w:bookmarkStart w:id="296" w:name="Tc_nFJrSBZJW0eonUgoXbv1lA_20_12"/>
      <w:bookmarkStart w:id="297" w:name="Tc_CbUW1jSfLU6SssHW8Ss56w_20_6"/>
      <w:bookmarkStart w:id="298" w:name="Tc_2YFR6cw3JUq2zGnrnpEqiw_20_0"/>
      <w:bookmarkStart w:id="299" w:name="Tc_qIUBeRqnD0-n3CfDLRPLzA_19_0"/>
      <w:bookmarkStart w:id="300" w:name="Tc_t6lUkhqcE0K1q5LIvyLFrg_18_0"/>
      <w:bookmarkStart w:id="301" w:name="Tc_5CQqVV4bIk6XJUERkpX4dA_17_0"/>
      <w:bookmarkStart w:id="302" w:name="Tc_L_Drexbt7k2jUv6CGlTavA_16_0"/>
      <w:bookmarkStart w:id="303" w:name="Tc_R3jNG63C3EioKB_vY62-ig_15_0"/>
      <w:bookmarkStart w:id="304" w:name="Tc_PKPPqZHxmk6a56R8QqlWuA_14_0"/>
      <w:bookmarkStart w:id="305" w:name="Tc_DEPZDcF7D0m1jeoyI8Ajtg_13_0"/>
      <w:bookmarkStart w:id="306" w:name="Tc_0mJDtu7ktUij_8KutRn0wg_12_0"/>
      <w:bookmarkStart w:id="307" w:name="Tc_amDG9MEn_EWnUZwQ558qJQ_11_0"/>
      <w:bookmarkStart w:id="308" w:name="Tc_-luQRNmrIUmfa-eSuzVddw_10_12"/>
      <w:bookmarkStart w:id="309" w:name="Tc_W2z72s3YC0iGatlqBCklzA_10_6"/>
      <w:bookmarkStart w:id="310" w:name="Tc_cIj46HJhnk6CdPN7CWDlTA_10_0"/>
      <w:bookmarkStart w:id="311" w:name="Tc_9jX184uTAEWW0nGxicZyvQ_9_0"/>
      <w:bookmarkStart w:id="312" w:name="Tc_OZOcBNbzyEy9Oio2SayqNg_8_0"/>
      <w:bookmarkStart w:id="313" w:name="Tc_48luE0FoRkWgnqrxgbxX3Q_7_12"/>
      <w:bookmarkStart w:id="314" w:name="Tc_P0LnA0eHg0aPiXBy1bM1KA_7_6"/>
      <w:bookmarkStart w:id="315" w:name="Tc_RDqkxgY8Pkm4SXh-Nk8xZg_7_0"/>
      <w:bookmarkStart w:id="316" w:name="Tc_t5D5I-UUpU2vul3lcyGuHA_6_0"/>
      <w:bookmarkStart w:id="317" w:name="Tc_08MDml4hM0SXJe7hOlKacA_5_12"/>
      <w:bookmarkStart w:id="318" w:name="Tc_he4rT-3l0UGZ9KXwW_WPXg_5_11"/>
      <w:bookmarkStart w:id="319" w:name="Tc_PgMjfaVoc0-__9669JUeNQ_5_8"/>
      <w:bookmarkStart w:id="320" w:name="Tc_6YKVDGt_4k2TItrxzKDQpg_5_6"/>
      <w:bookmarkStart w:id="321" w:name="Tc_3VKgvNpFIkSrMHJDcSpdLg_5_5"/>
      <w:bookmarkStart w:id="322" w:name="Tc_UfZpo5qCNUatVdWYjDp89g_5_2"/>
      <w:bookmarkStart w:id="323" w:name="Tc_yKvY0eGn302TmrAiupmi0Q_5_0"/>
      <w:bookmarkStart w:id="324" w:name="Tc_zxGRUBjCaEqmZ60tTPPWdg_4_0"/>
      <w:bookmarkStart w:id="325" w:name="Tc_xOx1hCA7HkWG94aWZvpv0g_2_11"/>
      <w:bookmarkStart w:id="326" w:name="Tc_wvzyf29T7UCUneoF-xO_4Q_2_8"/>
      <w:bookmarkStart w:id="327" w:name="Tc_lqefUBEJvkeq__5YkaZJkQ_2_5"/>
      <w:bookmarkStart w:id="328" w:name="Tc_r538aD8QcEK49zuOgGLCFg_2_2"/>
      <w:bookmarkStart w:id="329" w:name="Tc_AljnvTVlTEqq0mmtRmuo2w_1_8"/>
      <w:bookmarkStart w:id="330" w:name="Tc_7z5BV_h2m0-3-EgQDohuIg_1_2"/>
      <w:bookmarkStart w:id="331" w:name="_b27a3dd8_a9e9_4643_887c_37f9ab6dc01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tbl>
      <w:tblPr>
        <w:tblW w:w="10205" w:type="dxa"/>
        <w:jc w:val="left"/>
        <w:tblInd w:w="0" w:type="dxa"/>
        <w:tblLayout w:type="fixed"/>
        <w:tblCellMar>
          <w:top w:w="0" w:type="dxa"/>
          <w:left w:w="0" w:type="dxa"/>
          <w:bottom w:w="0" w:type="dxa"/>
          <w:right w:w="0" w:type="dxa"/>
        </w:tblCellMar>
      </w:tblPr>
      <w:tblGrid>
        <w:gridCol w:w="2984"/>
        <w:gridCol w:w="346"/>
        <w:gridCol w:w="252"/>
        <w:gridCol w:w="1185"/>
        <w:gridCol w:w="447"/>
        <w:gridCol w:w="252"/>
        <w:gridCol w:w="1187"/>
        <w:gridCol w:w="346"/>
        <w:gridCol w:w="233"/>
        <w:gridCol w:w="1097"/>
        <w:gridCol w:w="413"/>
        <w:gridCol w:w="233"/>
        <w:gridCol w:w="1230"/>
      </w:tblGrid>
      <w:tr>
        <w:trPr/>
        <w:tc>
          <w:tcPr>
            <w:tcW w:w="2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94840" cy="175260"/>
                      <wp:effectExtent l="0" t="0" r="0" b="0"/>
                      <wp:wrapNone/>
                      <wp:docPr id="8" name="Frame8"/>
                      <a:graphic xmlns:a="http://schemas.openxmlformats.org/drawingml/2006/main">
                        <a:graphicData uri="http://schemas.microsoft.com/office/word/2010/wordprocessingShape">
                          <wps:wsp>
                            <wps:cNvSpPr txBox="1"/>
                            <wps:spPr>
                              <a:xfrm>
                                <a:off x="0" y="0"/>
                                <a:ext cx="189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0020" cy="175260"/>
                      <wp:effectExtent l="0" t="0" r="0" b="0"/>
                      <wp:wrapNone/>
                      <wp:docPr id="10" name="Frame1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52475" cy="175260"/>
                      <wp:effectExtent l="0" t="0" r="0" b="0"/>
                      <wp:wrapNone/>
                      <wp:docPr id="11" name="Frame11"/>
                      <a:graphic xmlns:a="http://schemas.openxmlformats.org/drawingml/2006/main">
                        <a:graphicData uri="http://schemas.microsoft.com/office/word/2010/wordprocessingShape">
                          <wps:wsp>
                            <wps:cNvSpPr txBox="1"/>
                            <wps:spPr>
                              <a:xfrm>
                                <a:off x="0" y="0"/>
                                <a:ext cx="752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83845" cy="175260"/>
                      <wp:effectExtent l="0" t="0" r="0" b="0"/>
                      <wp:wrapNone/>
                      <wp:docPr id="12" name="Frame12"/>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0020" cy="175260"/>
                      <wp:effectExtent l="0" t="0" r="0" b="0"/>
                      <wp:wrapNone/>
                      <wp:docPr id="13" name="Frame1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53745" cy="175260"/>
                      <wp:effectExtent l="0" t="0" r="0" b="0"/>
                      <wp:wrapNone/>
                      <wp:docPr id="14" name="Frame14"/>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7955" cy="175260"/>
                      <wp:effectExtent l="0" t="0" r="0" b="0"/>
                      <wp:wrapNone/>
                      <wp:docPr id="16" name="Frame1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6595" cy="175260"/>
                      <wp:effectExtent l="0" t="0" r="0" b="0"/>
                      <wp:wrapNone/>
                      <wp:docPr id="17" name="Frame1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62255" cy="175260"/>
                      <wp:effectExtent l="0" t="0" r="0" b="0"/>
                      <wp:wrapNone/>
                      <wp:docPr id="18" name="Frame18"/>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7955" cy="175260"/>
                      <wp:effectExtent l="0" t="0" r="0" b="0"/>
                      <wp:wrapNone/>
                      <wp:docPr id="19" name="Frame1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81050" cy="175260"/>
                      <wp:effectExtent l="0" t="0" r="0" b="0"/>
                      <wp:wrapNone/>
                      <wp:docPr id="20" name="Frame20"/>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For the Three-Month Periods Ended June 30, </w:t>
            </w:r>
          </w:p>
        </w:tc>
        <w:tc>
          <w:tcPr>
            <w:tcW w:w="346" w:type="dxa"/>
            <w:tcBorders/>
            <w:vAlign w:val="center"/>
          </w:tcPr>
          <w:p>
            <w:pPr>
              <w:pStyle w:val="TableContents"/>
              <w:bidi w:val="0"/>
              <w:spacing w:before="0" w:after="1"/>
              <w:ind w:left="0" w:right="0" w:hanging="0"/>
              <w:jc w:val="left"/>
              <w:rPr/>
            </w:pPr>
            <w:r>
              <w:rPr/>
              <w:t>​</w:t>
            </w:r>
          </w:p>
        </w:tc>
        <w:tc>
          <w:tcPr>
            <w:tcW w:w="32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For the Six-Month Periods Ended June 30, </w:t>
            </w:r>
          </w:p>
        </w:tc>
      </w:tr>
      <w:tr>
        <w:trPr/>
        <w:tc>
          <w:tcPr>
            <w:tcW w:w="29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2026</w:t>
            </w:r>
          </w:p>
        </w:tc>
        <w:tc>
          <w:tcPr>
            <w:tcW w:w="447" w:type="dxa"/>
            <w:tcBorders/>
            <w:vAlign w:val="center"/>
          </w:tcPr>
          <w:p>
            <w:pPr>
              <w:pStyle w:val="TableContents"/>
              <w:bidi w:val="0"/>
              <w:spacing w:before="0" w:after="1"/>
              <w:ind w:left="0" w:right="0" w:hanging="0"/>
              <w:jc w:val="left"/>
              <w:rPr/>
            </w:pPr>
            <w:r>
              <w:rPr/>
              <w:t>  ​ ​ ​</w:t>
            </w:r>
          </w:p>
        </w:tc>
        <w:tc>
          <w:tcPr>
            <w:tcW w:w="14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2025</w:t>
            </w:r>
          </w:p>
        </w:tc>
        <w:tc>
          <w:tcPr>
            <w:tcW w:w="346" w:type="dxa"/>
            <w:tcBorders/>
            <w:vAlign w:val="center"/>
          </w:tcPr>
          <w:p>
            <w:pPr>
              <w:pStyle w:val="TableContents"/>
              <w:bidi w:val="0"/>
              <w:spacing w:before="0" w:after="1"/>
              <w:ind w:left="0" w:right="0" w:hanging="0"/>
              <w:jc w:val="left"/>
              <w:rPr/>
            </w:pPr>
            <w:r>
              <w:rPr/>
              <w:t>  ​ ​ ​</w:t>
            </w:r>
          </w:p>
        </w:tc>
        <w:tc>
          <w:tcPr>
            <w:tcW w:w="13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2026</w:t>
            </w:r>
          </w:p>
        </w:tc>
        <w:tc>
          <w:tcPr>
            <w:tcW w:w="413" w:type="dxa"/>
            <w:tcBorders/>
            <w:vAlign w:val="center"/>
          </w:tcPr>
          <w:p>
            <w:pPr>
              <w:pStyle w:val="TableContents"/>
              <w:bidi w:val="0"/>
              <w:spacing w:before="0" w:after="1"/>
              <w:ind w:left="0" w:right="0" w:hanging="0"/>
              <w:jc w:val="left"/>
              <w:rPr/>
            </w:pPr>
            <w:r>
              <w:rPr/>
              <w:t>  ​ ​ ​</w:t>
            </w:r>
          </w:p>
        </w:tc>
        <w:tc>
          <w:tcPr>
            <w:tcW w:w="14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2025</w:t>
            </w:r>
          </w:p>
        </w:tc>
      </w:tr>
      <w:tr>
        <w:trPr/>
        <w:tc>
          <w:tcPr>
            <w:tcW w:w="29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pPr>
            <w:r>
              <w:rPr/>
              <w:t>​</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revenue</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11,885</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11,885</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revenue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104,906</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3,691</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105,199</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5,617</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License revenue - related party</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204,643</w:t>
            </w:r>
          </w:p>
        </w:tc>
        <w:tc>
          <w:tcPr>
            <w:tcW w:w="447"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204,643</w:t>
            </w:r>
          </w:p>
        </w:tc>
        <w:tc>
          <w:tcPr>
            <w:tcW w:w="413"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321,434</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3,691</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321,727</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5,617</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pPr>
            <w:r>
              <w:rPr/>
              <w:t>​</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1,401</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1,401</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service revenue - related party</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5,763</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2,676</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5,961</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4,054</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12,013</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12,313</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20,941</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21,677</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57,832</w:t>
            </w:r>
          </w:p>
        </w:tc>
        <w:tc>
          <w:tcPr>
            <w:tcW w:w="447"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33,495</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89,816</w:t>
            </w:r>
          </w:p>
        </w:tc>
        <w:tc>
          <w:tcPr>
            <w:tcW w:w="413"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66,275</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77,009</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48,484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118,119</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92,006</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244,425</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(44,793)</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203,608</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(86,389)</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non-operating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(loss) gain</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(1,466)</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8,624</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(4,303)</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12,311</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408</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895</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(3,509)</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(3,034)</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(6,357)</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(6,077)</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(5,223)</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(5,223)</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equity method investee</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(71,902)</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(71,902)</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(2,362)</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(2,362)</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160,669</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114,356</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(78,776)</w:t>
            </w:r>
          </w:p>
        </w:tc>
      </w:tr>
      <w:tr>
        <w:trPr/>
        <w:tc>
          <w:tcPr>
            <w:tcW w:w="29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attributed to:</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pPr>
            <w:r>
              <w:rPr/>
              <w:t>​</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attributed to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160,720</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114,407</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(78,776)</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attributed to non-controlling interest</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447"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413"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160,669</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114,356</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(78,776)</w:t>
            </w:r>
          </w:p>
        </w:tc>
      </w:tr>
      <w:tr>
        <w:trPr/>
        <w:tc>
          <w:tcPr>
            <w:tcW w:w="29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pPr>
            <w:r>
              <w:rPr/>
              <w:t>​</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gain (loss):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gain (loss) attributed to shareholders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(2,459)</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849</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(3,806)</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loss attributed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(loss)</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161,342</w:t>
            </w:r>
          </w:p>
        </w:tc>
        <w:tc>
          <w:tcPr>
            <w:tcW w:w="447"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(41,254)</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115,201</w:t>
            </w:r>
          </w:p>
        </w:tc>
        <w:tc>
          <w:tcPr>
            <w:tcW w:w="413"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(82,582)</w:t>
            </w:r>
          </w:p>
        </w:tc>
      </w:tr>
      <w:tr>
        <w:trPr/>
        <w:tc>
          <w:tcPr>
            <w:tcW w:w="29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ordinary share:</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1097" w:type="dxa"/>
            <w:tcBorders/>
            <w:vAlign w:val="center"/>
          </w:tcPr>
          <w:p>
            <w:pPr>
              <w:pStyle w:val="TableContents"/>
              <w:bidi w:val="0"/>
              <w:spacing w:before="0" w:after="1"/>
              <w:ind w:left="0" w:right="0" w:hanging="0"/>
              <w:jc w:val="right"/>
              <w:rPr/>
            </w:pPr>
            <w:r>
              <w:rPr/>
              <w:t>​</w:t>
            </w:r>
          </w:p>
        </w:tc>
        <w:tc>
          <w:tcPr>
            <w:tcW w:w="413"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447"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(0.48)</w:t>
            </w:r>
          </w:p>
        </w:tc>
        <w:tc>
          <w:tcPr>
            <w:tcW w:w="346"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413"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(0.99)</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447"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(0.48)</w:t>
            </w:r>
          </w:p>
        </w:tc>
        <w:tc>
          <w:tcPr>
            <w:tcW w:w="346"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413"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(0.99)</w:t>
            </w:r>
          </w:p>
        </w:tc>
      </w:tr>
      <w:tr>
        <w:trPr/>
        <w:tc>
          <w:tcPr>
            <w:tcW w:w="29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1230" w:type="dxa"/>
            <w:tcBorders/>
            <w:shd w:fill="CCEEFF" w:val="clear"/>
            <w:vAlign w:val="center"/>
          </w:tcPr>
          <w:p>
            <w:pPr>
              <w:pStyle w:val="TableContents"/>
              <w:bidi w:val="0"/>
              <w:spacing w:before="0" w:after="1"/>
              <w:ind w:left="0" w:right="0" w:hanging="0"/>
              <w:jc w:val="right"/>
              <w:rPr/>
            </w:pPr>
            <w:r>
              <w:rPr/>
              <w:t>​</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number of ordinary shares outstanding:</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5" w:type="dxa"/>
            <w:tcBorders/>
            <w:vAlign w:val="center"/>
          </w:tcPr>
          <w:p>
            <w:pPr>
              <w:pStyle w:val="TableContents"/>
              <w:bidi w:val="0"/>
              <w:spacing w:before="0" w:after="1"/>
              <w:ind w:left="0" w:right="0" w:hanging="0"/>
              <w:jc w:val="right"/>
              <w:rPr/>
            </w:pPr>
            <w:r>
              <w:rPr/>
              <w:t>​</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pPr>
            <w:r>
              <w:rPr/>
              <w:t>​</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0" w:hanging="0"/>
              <w:jc w:val="right"/>
              <w:rPr/>
            </w:pPr>
            <w:r>
              <w:rPr/>
              <w:t>​</w:t>
            </w:r>
          </w:p>
        </w:tc>
      </w:tr>
      <w:tr>
        <w:trPr/>
        <w:tc>
          <w:tcPr>
            <w:tcW w:w="29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91,418,527</w:t>
            </w:r>
          </w:p>
        </w:tc>
        <w:tc>
          <w:tcPr>
            <w:tcW w:w="447"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80,585,625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86,387,685</w:t>
            </w:r>
          </w:p>
        </w:tc>
        <w:tc>
          <w:tcPr>
            <w:tcW w:w="41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79,813,273</w:t>
            </w:r>
          </w:p>
        </w:tc>
      </w:tr>
      <w:tr>
        <w:trPr/>
        <w:tc>
          <w:tcPr>
            <w:tcW w:w="29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93,805,296</w:t>
            </w:r>
          </w:p>
        </w:tc>
        <w:tc>
          <w:tcPr>
            <w:tcW w:w="447"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80,585,625</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88,115,023</w:t>
            </w:r>
          </w:p>
        </w:tc>
        <w:tc>
          <w:tcPr>
            <w:tcW w:w="413"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230"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79,813,273</w:t>
            </w:r>
          </w:p>
        </w:tc>
      </w:tr>
    </w:tbl>
    <w:p>
      <w:pPr>
        <w:pStyle w:val="TextBody"/>
        <w:bidi w:val="0"/>
        <w:spacing w:before="0" w:after="240"/>
        <w:ind w:left="0" w:right="0" w:hanging="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2" w:name="_7b95fbcd_353f_4e40_850d_3ce20631a20c"/>
      <w:bookmarkEnd w:id="332"/>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bookmarkStart w:id="333" w:name="CONDENSEDCONSOLIDATEDSTATEMENTOFSHAREHOL"/>
      <w:bookmarkEnd w:id="333"/>
      <w:r>
        <w:rPr>
          <w:rFonts w:ascii="Times New Roman;Times;serif" w:hAnsi="Times New Roman;Times;serif"/>
          <w:b/>
          <w:sz w:val="20"/>
        </w:rPr>
        <w:t xml:space="preserve">CONDENSED CONSOLIDATED STATEMENT OF SHAREHOLDERS’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PERIOD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4" w:name="Tc_pgzU7GV07Eq-HIh2VgJ-WA_22_22"/>
      <w:bookmarkStart w:id="335" w:name="Tc_rlyju6KowEG_y_Mz5p6S1Q_22_19"/>
      <w:bookmarkStart w:id="336" w:name="Tc_YL_P4GoHbUurDAp0c9qp1w_22_16"/>
      <w:bookmarkStart w:id="337" w:name="Tc_MPYWnIvabkmp1PQlBer7Pw_22_13"/>
      <w:bookmarkStart w:id="338" w:name="Tc_NjpXVvKfrEuPU9lL39fkRA_22_10"/>
      <w:bookmarkStart w:id="339" w:name="Tc_b9f-zDPDhEmH-OdpkXANvg_22_4"/>
      <w:bookmarkStart w:id="340" w:name="Tc_8KWwsrIrKkW9jko6XfD5qQ_22_0"/>
      <w:bookmarkStart w:id="341" w:name="Tc_p9rwTKACOEybm27TQiBrcg_21_14"/>
      <w:bookmarkStart w:id="342" w:name="Tc_GIbVHOxipUmwT5ShFF-0lQ_21_11"/>
      <w:bookmarkStart w:id="343" w:name="Tc_QE9nIVULVkidoqJueLHV8g_21_8"/>
      <w:bookmarkStart w:id="344" w:name="Tc_nt_GxA-b5EuU629FQWdT5g_21_5"/>
      <w:bookmarkStart w:id="345" w:name="Tc_PYxWkldDlk-5_mfj9pB7aw_21_2"/>
      <w:bookmarkStart w:id="346" w:name="Tc_4JR78FWQdka5NXJ887LNEw_21_0"/>
      <w:bookmarkStart w:id="347" w:name="Tc_-ZHmzmn2tU-6UXAI92OSYg_20_17"/>
      <w:bookmarkStart w:id="348" w:name="Tc_ldq9yrIB20iHlRnguAAk_g_20_11"/>
      <w:bookmarkStart w:id="349" w:name="Tc_VoLPZkrKYEKGIp2S3vUwmA_20_8"/>
      <w:bookmarkStart w:id="350" w:name="Tc_lW5WOBGGTESlZaxQ8DoV-A_20_5"/>
      <w:bookmarkStart w:id="351" w:name="Tc_DCqH8Nf-R0e7eu1iUZ1l8w_20_2"/>
      <w:bookmarkStart w:id="352" w:name="Tc_atrGacuVI0GDbQKsn1XDhg_20_0"/>
      <w:bookmarkStart w:id="353" w:name="Tc_-YAopbjiB0qkJEoNniTLmA_19_20"/>
      <w:bookmarkStart w:id="354" w:name="Tc_0KPcpkY3E06Be7vp0O7FWQ_19_17"/>
      <w:bookmarkStart w:id="355" w:name="Tc_pKRwx-36G0S8kRtcY0VCaA_19_14"/>
      <w:bookmarkStart w:id="356" w:name="Tc_fHtebfSM1ESAg34zrDO2mg_19_11"/>
      <w:bookmarkStart w:id="357" w:name="Tc_gsS_YtC8QEeaB0Lw21lPcw_19_5"/>
      <w:bookmarkStart w:id="358" w:name="Tc_5Piqo7GnGEC-XquRUiYflw_19_2"/>
      <w:bookmarkStart w:id="359" w:name="Tc_TeNmSusx7Eu45xtMUlAJzw_19_0"/>
      <w:bookmarkStart w:id="360" w:name="Tc_4UBcynkSakmkWOqFUgZCPQ_18_17"/>
      <w:bookmarkStart w:id="361" w:name="Tc_LwAhVicD0E-BnfMoSyhIfg_18_14"/>
      <w:bookmarkStart w:id="362" w:name="Tc_ho3TwVhRiUCO-Ea97NjnuA_18_11"/>
      <w:bookmarkStart w:id="363" w:name="Tc_TH0FEw-RbEeC-bPwtV7Pdw_18_5"/>
      <w:bookmarkStart w:id="364" w:name="Tc_gEam0xeCDEOz-xvCizQn3g_18_2"/>
      <w:bookmarkStart w:id="365" w:name="Tc_r0LBdJigy0uML3yuqt9KhQ_18_0"/>
      <w:bookmarkStart w:id="366" w:name="Tc_La3SV_gvGkeBXgLRDNjTdw_17_17"/>
      <w:bookmarkStart w:id="367" w:name="Tc_isJchZHddky_xlKoidel2w_17_14"/>
      <w:bookmarkStart w:id="368" w:name="Tc_02d0qQAhzEe6FM_VUHxayA_17_11"/>
      <w:bookmarkStart w:id="369" w:name="Tc_5V8lmNN5Ik207zdjUWUFwQ_17_8"/>
      <w:bookmarkStart w:id="370" w:name="Tc_nYAh0Kccj0OXUoZHIyhIPw_17_5"/>
      <w:bookmarkStart w:id="371" w:name="Tc_9x_qlCcPHk2gmtvHcS3U8g_17_2"/>
      <w:bookmarkStart w:id="372" w:name="Tc_SsPupnQixUiCM2JcYsjlSA_17_0"/>
      <w:bookmarkStart w:id="373" w:name="Tc_DRqy9uqIcEacRKN7wDkYUQ_16_20"/>
      <w:bookmarkStart w:id="374" w:name="Tc_BW7ewYBahkS847TDEFHMLw_16_17"/>
      <w:bookmarkStart w:id="375" w:name="Tc_cvWsGaRxD0OFfJ4BvMh6SA_16_14"/>
      <w:bookmarkStart w:id="376" w:name="Tc_jTqL5dVufkyj0QDKe0Q8gA_16_11"/>
      <w:bookmarkStart w:id="377" w:name="Tc_wyjLjaUtLkeAY19WOuz3Qg_16_5"/>
      <w:bookmarkStart w:id="378" w:name="Tc_3L1SGfSVl0a87tr2DCgy6Q_16_0"/>
      <w:bookmarkStart w:id="379" w:name="Tc_tIexfbEZrUCzVWCcV9tkrQ_15_20"/>
      <w:bookmarkStart w:id="380" w:name="Tc_hNzCF3BVwUCkVymvrWj8oQ_15_17"/>
      <w:bookmarkStart w:id="381" w:name="Tc_U4l8rCOTzUCL3SQ0sq4aQw_15_14"/>
      <w:bookmarkStart w:id="382" w:name="Tc_RvgcAjtdbkOpERStGiyoUg_15_11"/>
      <w:bookmarkStart w:id="383" w:name="Tc_4s_xW4atL06gNBb5mDMUjA_15_5"/>
      <w:bookmarkStart w:id="384" w:name="Tc_sBIrTsT1kkK-lmmZm_BdhA_15_0"/>
      <w:bookmarkStart w:id="385" w:name="Tc_ibAnypqmeESRYCUNApILqg_14_20"/>
      <w:bookmarkStart w:id="386" w:name="Tc_1EwSOpTZbESz6AK8CaoqLA_14_17"/>
      <w:bookmarkStart w:id="387" w:name="Tc_WpZv5-_eb0mPYwXWW0jz0w_14_14"/>
      <w:bookmarkStart w:id="388" w:name="Tc_Cjqn5S17r0SDHuDzBT4oyA_14_11"/>
      <w:bookmarkStart w:id="389" w:name="Tc_O7uFVQpTRUu7baP_7zvSzQ_14_5"/>
      <w:bookmarkStart w:id="390" w:name="Tc_U8EJZO8qSkClqfZdlZiXFA_14_0"/>
      <w:bookmarkStart w:id="391" w:name="Tc_F9hJWygtyUGhNE0qpnteWQ_13_20"/>
      <w:bookmarkStart w:id="392" w:name="Tc_uPo7CYl4KkCIFx_HVaRu5w_13_0"/>
      <w:bookmarkStart w:id="393" w:name="Tc_CGBd4xrUkE6b5V0-CuljHQ_12_20"/>
      <w:bookmarkStart w:id="394" w:name="Tc_RMgw4B-SoU6m9FkfV6efQg_12_14"/>
      <w:bookmarkStart w:id="395" w:name="Tc__FyQZ5l_KkiTDJfZtBIVZA_12_11"/>
      <w:bookmarkStart w:id="396" w:name="Tc_cq2EKcs1dU-_fdsc2b8FUg_12_8"/>
      <w:bookmarkStart w:id="397" w:name="Tc_Qt6M5hZy1EOZsqiVTT23sA_12_5"/>
      <w:bookmarkStart w:id="398" w:name="Tc_Gnizy4ZGTkKSTywJctqDNw_12_2"/>
      <w:bookmarkStart w:id="399" w:name="Tc_OM6eZ8eDnEuRpMi9qdQ7LQ_12_0"/>
      <w:bookmarkStart w:id="400" w:name="Tc_kYjlruXh1EGZiJs4jbC-ww_11_20"/>
      <w:bookmarkStart w:id="401" w:name="Tc_opJkzO9Xd0i5dH0lfIo0aQ_11_17"/>
      <w:bookmarkStart w:id="402" w:name="Tc_4Toq-QHR-UGTNkp2JzrSkA_11_11"/>
      <w:bookmarkStart w:id="403" w:name="Tc_e0v3fo7WtkumY7hTSULpgg_11_8"/>
      <w:bookmarkStart w:id="404" w:name="Tc_7cEbQbRnE0CvW2ONX6QJUQ_11_5"/>
      <w:bookmarkStart w:id="405" w:name="Tc_6zury7X1D0O2WHLuupBQAg_11_2"/>
      <w:bookmarkStart w:id="406" w:name="Tc_UKR6mvg8OEqbQgwzCA5KRw_11_0"/>
      <w:bookmarkStart w:id="407" w:name="Tc_0F_prONP-0i9YFvYtBMeuQ_10_20"/>
      <w:bookmarkStart w:id="408" w:name="Tc_0kfgNRT4sUOKB27CD6PRdw_10_17"/>
      <w:bookmarkStart w:id="409" w:name="Tc_lLJ40Ebsr0OELmdGF4ljrg_10_14"/>
      <w:bookmarkStart w:id="410" w:name="Tc_s76z5oxwC0K9XIMZPkBDUg_10_11"/>
      <w:bookmarkStart w:id="411" w:name="Tc_vM_PZSfkM0WYyru_322Y9Q_10_5"/>
      <w:bookmarkStart w:id="412" w:name="Tc_S3m-8ui9GUCaLihf3LldvQ_10_0"/>
      <w:bookmarkStart w:id="413" w:name="Tc_TvS5fIIwSk6lTS2CxXcoRQ_9_20"/>
      <w:bookmarkStart w:id="414" w:name="Tc_8zrEwGTWX0WI-lQAVxdnxw_9_17"/>
      <w:bookmarkStart w:id="415" w:name="Tc_zxvRe-9JFkyaQODgk_H_oQ_9_14"/>
      <w:bookmarkStart w:id="416" w:name="Tc_t0l_cm7mR0SAZhrqs5JRoQ_9_8"/>
      <w:bookmarkStart w:id="417" w:name="Tc_XlR_5fSJfEiECrSvrE27Yw_9_5"/>
      <w:bookmarkStart w:id="418" w:name="Tc__ZZozvS7pE2aSRYE_oZXjQ_9_0"/>
      <w:bookmarkStart w:id="419" w:name="Tc_UE78FljNw0qjvOCrFfwAOg_8_20"/>
      <w:bookmarkStart w:id="420" w:name="Tc_6JLfx1KGo0GipOcrw6J58A_8_17"/>
      <w:bookmarkStart w:id="421" w:name="Tc_S0GCwPCFd06yY3Oz8PA0Ng_8_14"/>
      <w:bookmarkStart w:id="422" w:name="Tc_p-CDK2I2F0Slf8VM630h7A_8_11"/>
      <w:bookmarkStart w:id="423" w:name="Tc_WsCZxJuM00upcnkSRnJhww_8_5"/>
      <w:bookmarkStart w:id="424" w:name="Tc_hX00erkvjkaOcmtj5AOefg_8_2"/>
      <w:bookmarkStart w:id="425" w:name="Tc_rtG93uUoPUGUd-zw3eyFYA_8_0"/>
      <w:bookmarkStart w:id="426" w:name="Tc_ZdbsKz0Y2UmGvG4QHXLTNw_7_20"/>
      <w:bookmarkStart w:id="427" w:name="Tc_QCYCoFdkjEexQhUdXItZTg_7_17"/>
      <w:bookmarkStart w:id="428" w:name="Tc_kJrLwrtgo0Ohrl0YowCNvg_7_14"/>
      <w:bookmarkStart w:id="429" w:name="Tc_FpsOE3fTbU-F0f-Q1Lrd5w_7_11"/>
      <w:bookmarkStart w:id="430" w:name="Tc_O9Sy7OKmREqfRVnZYP1ECA_7_5"/>
      <w:bookmarkStart w:id="431" w:name="Tc_kJjFB5wt-0CdsVxK5kSvLg_7_0"/>
      <w:bookmarkStart w:id="432" w:name="Tc_zS-q8zu0QEyo-2O4rL45eg_6_20"/>
      <w:bookmarkStart w:id="433" w:name="Tc_IFc1eGHpgEKrSZ9HncGWvg_6_17"/>
      <w:bookmarkStart w:id="434" w:name="Tc_0Jne3OpzxECq7G9DyPcQBQ_6_14"/>
      <w:bookmarkStart w:id="435" w:name="Tc_knHR7W0LYEyCk1zUuIbgPQ_6_11"/>
      <w:bookmarkStart w:id="436" w:name="Tc_KZYzCBM2GU28XwYvYcIsAg_6_5"/>
      <w:bookmarkStart w:id="437" w:name="Tc_h_pSG3koPUq2hREY4CH-Yw_6_0"/>
      <w:bookmarkStart w:id="438" w:name="Tc_M9kzPHl0QUKeQeq1AO2eqg_5_22"/>
      <w:bookmarkStart w:id="439" w:name="Tc_3nebuHxkGEqZHAVaH7zfFA_5_20"/>
      <w:bookmarkStart w:id="440" w:name="Tc_vXeL-TomYEep6Xu0H5CmFA_5_19"/>
      <w:bookmarkStart w:id="441" w:name="Tc_KBhxViYTO0uSRZCxetOAEQ_5_16"/>
      <w:bookmarkStart w:id="442" w:name="Tc_bjg9IRLqFkSfACTtvmHZfw_5_13"/>
      <w:bookmarkStart w:id="443" w:name="Tc_uCCNiRg6r02ST4J1c0Ae3g_5_11"/>
      <w:bookmarkStart w:id="444" w:name="Tc_9IRBH2iYMEKxcJN2_WUv5g_5_10"/>
      <w:bookmarkStart w:id="445" w:name="Tc_pQniFlfKVESPX6De7lGtCQ_5_4"/>
      <w:bookmarkStart w:id="446" w:name="Tc_wsKM5UF3l0uONUmEqjU77g_5_0"/>
      <w:bookmarkStart w:id="447" w:name="Tc_qNhwesRjH06FMXg9C27mFw_3_22"/>
      <w:bookmarkStart w:id="448" w:name="Tc_AURu0fdmF0CCmVnEzU7VEg_3_19"/>
      <w:bookmarkStart w:id="449" w:name="Tc_n90Bpn9nAE22053nrjd-gQ_3_16"/>
      <w:bookmarkStart w:id="450" w:name="Tc_PyqiYjHrA0qrKr0ZfZrAUw_3_13"/>
      <w:bookmarkStart w:id="451" w:name="Tc_21WNMsGjf0mBfmDPT_JZow_3_10"/>
      <w:bookmarkStart w:id="452" w:name="Tc_9W49opRuoEmlBJj0QYAHZA_3_7"/>
      <w:bookmarkStart w:id="453" w:name="Tc_xjR_BCyOhUeMBts7XygvgQ_3_4"/>
      <w:bookmarkStart w:id="454" w:name="Tc_MvtZ2fNvxUCkxgoPfjxrfg_3_2"/>
      <w:bookmarkStart w:id="455" w:name="Tc_1FpLbQQ4cECBu6zzXusygw_2_22"/>
      <w:bookmarkStart w:id="456" w:name="Tc_nFy5ZIHS3kG8qmh2eWgCQg_2_19"/>
      <w:bookmarkStart w:id="457" w:name="Tc_wEWhFlIQYUSk-vnWl3ZUKA_2_16"/>
      <w:bookmarkStart w:id="458" w:name="Tc_U-tbO7Q2KEm1BPSaGiEpnA_2_13"/>
      <w:bookmarkStart w:id="459" w:name="Tc_hpiLcLSMsUSI30UTnfEiUw_2_7"/>
      <w:bookmarkStart w:id="460" w:name="Tc_Xxk3pQgHf0iANrdeSZ5zFw_2_2"/>
      <w:bookmarkStart w:id="461" w:name="Tc_RtvJ3qicyEqXkFn0F_MIbA_1_22"/>
      <w:bookmarkStart w:id="462" w:name="Tc_1hznxEX07EG2FZZm0ZOfpQ_1_13"/>
      <w:bookmarkStart w:id="463" w:name="_434224a9_ed15_4531_bdef_13472227748a"/>
      <w:bookmarkStart w:id="464" w:name="Tc_pgzU7GV07Eq-HIh2VgJ-WA_22_22"/>
      <w:bookmarkStart w:id="465" w:name="Tc_rlyju6KowEG_y_Mz5p6S1Q_22_19"/>
      <w:bookmarkStart w:id="466" w:name="Tc_YL_P4GoHbUurDAp0c9qp1w_22_16"/>
      <w:bookmarkStart w:id="467" w:name="Tc_MPYWnIvabkmp1PQlBer7Pw_22_13"/>
      <w:bookmarkStart w:id="468" w:name="Tc_NjpXVvKfrEuPU9lL39fkRA_22_10"/>
      <w:bookmarkStart w:id="469" w:name="Tc_b9f-zDPDhEmH-OdpkXANvg_22_4"/>
      <w:bookmarkStart w:id="470" w:name="Tc_8KWwsrIrKkW9jko6XfD5qQ_22_0"/>
      <w:bookmarkStart w:id="471" w:name="Tc_p9rwTKACOEybm27TQiBrcg_21_14"/>
      <w:bookmarkStart w:id="472" w:name="Tc_GIbVHOxipUmwT5ShFF-0lQ_21_11"/>
      <w:bookmarkStart w:id="473" w:name="Tc_QE9nIVULVkidoqJueLHV8g_21_8"/>
      <w:bookmarkStart w:id="474" w:name="Tc_nt_GxA-b5EuU629FQWdT5g_21_5"/>
      <w:bookmarkStart w:id="475" w:name="Tc_PYxWkldDlk-5_mfj9pB7aw_21_2"/>
      <w:bookmarkStart w:id="476" w:name="Tc_4JR78FWQdka5NXJ887LNEw_21_0"/>
      <w:bookmarkStart w:id="477" w:name="Tc_-ZHmzmn2tU-6UXAI92OSYg_20_17"/>
      <w:bookmarkStart w:id="478" w:name="Tc_ldq9yrIB20iHlRnguAAk_g_20_11"/>
      <w:bookmarkStart w:id="479" w:name="Tc_VoLPZkrKYEKGIp2S3vUwmA_20_8"/>
      <w:bookmarkStart w:id="480" w:name="Tc_lW5WOBGGTESlZaxQ8DoV-A_20_5"/>
      <w:bookmarkStart w:id="481" w:name="Tc_DCqH8Nf-R0e7eu1iUZ1l8w_20_2"/>
      <w:bookmarkStart w:id="482" w:name="Tc_atrGacuVI0GDbQKsn1XDhg_20_0"/>
      <w:bookmarkStart w:id="483" w:name="Tc_-YAopbjiB0qkJEoNniTLmA_19_20"/>
      <w:bookmarkStart w:id="484" w:name="Tc_0KPcpkY3E06Be7vp0O7FWQ_19_17"/>
      <w:bookmarkStart w:id="485" w:name="Tc_pKRwx-36G0S8kRtcY0VCaA_19_14"/>
      <w:bookmarkStart w:id="486" w:name="Tc_fHtebfSM1ESAg34zrDO2mg_19_11"/>
      <w:bookmarkStart w:id="487" w:name="Tc_gsS_YtC8QEeaB0Lw21lPcw_19_5"/>
      <w:bookmarkStart w:id="488" w:name="Tc_5Piqo7GnGEC-XquRUiYflw_19_2"/>
      <w:bookmarkStart w:id="489" w:name="Tc_TeNmSusx7Eu45xtMUlAJzw_19_0"/>
      <w:bookmarkStart w:id="490" w:name="Tc_4UBcynkSakmkWOqFUgZCPQ_18_17"/>
      <w:bookmarkStart w:id="491" w:name="Tc_LwAhVicD0E-BnfMoSyhIfg_18_14"/>
      <w:bookmarkStart w:id="492" w:name="Tc_ho3TwVhRiUCO-Ea97NjnuA_18_11"/>
      <w:bookmarkStart w:id="493" w:name="Tc_TH0FEw-RbEeC-bPwtV7Pdw_18_5"/>
      <w:bookmarkStart w:id="494" w:name="Tc_gEam0xeCDEOz-xvCizQn3g_18_2"/>
      <w:bookmarkStart w:id="495" w:name="Tc_r0LBdJigy0uML3yuqt9KhQ_18_0"/>
      <w:bookmarkStart w:id="496" w:name="Tc_La3SV_gvGkeBXgLRDNjTdw_17_17"/>
      <w:bookmarkStart w:id="497" w:name="Tc_isJchZHddky_xlKoidel2w_17_14"/>
      <w:bookmarkStart w:id="498" w:name="Tc_02d0qQAhzEe6FM_VUHxayA_17_11"/>
      <w:bookmarkStart w:id="499" w:name="Tc_5V8lmNN5Ik207zdjUWUFwQ_17_8"/>
      <w:bookmarkStart w:id="500" w:name="Tc_nYAh0Kccj0OXUoZHIyhIPw_17_5"/>
      <w:bookmarkStart w:id="501" w:name="Tc_9x_qlCcPHk2gmtvHcS3U8g_17_2"/>
      <w:bookmarkStart w:id="502" w:name="Tc_SsPupnQixUiCM2JcYsjlSA_17_0"/>
      <w:bookmarkStart w:id="503" w:name="Tc_DRqy9uqIcEacRKN7wDkYUQ_16_20"/>
      <w:bookmarkStart w:id="504" w:name="Tc_BW7ewYBahkS847TDEFHMLw_16_17"/>
      <w:bookmarkStart w:id="505" w:name="Tc_cvWsGaRxD0OFfJ4BvMh6SA_16_14"/>
      <w:bookmarkStart w:id="506" w:name="Tc_jTqL5dVufkyj0QDKe0Q8gA_16_11"/>
      <w:bookmarkStart w:id="507" w:name="Tc_wyjLjaUtLkeAY19WOuz3Qg_16_5"/>
      <w:bookmarkStart w:id="508" w:name="Tc_3L1SGfSVl0a87tr2DCgy6Q_16_0"/>
      <w:bookmarkStart w:id="509" w:name="Tc_tIexfbEZrUCzVWCcV9tkrQ_15_20"/>
      <w:bookmarkStart w:id="510" w:name="Tc_hNzCF3BVwUCkVymvrWj8oQ_15_17"/>
      <w:bookmarkStart w:id="511" w:name="Tc_U4l8rCOTzUCL3SQ0sq4aQw_15_14"/>
      <w:bookmarkStart w:id="512" w:name="Tc_RvgcAjtdbkOpERStGiyoUg_15_11"/>
      <w:bookmarkStart w:id="513" w:name="Tc_4s_xW4atL06gNBb5mDMUjA_15_5"/>
      <w:bookmarkStart w:id="514" w:name="Tc_sBIrTsT1kkK-lmmZm_BdhA_15_0"/>
      <w:bookmarkStart w:id="515" w:name="Tc_ibAnypqmeESRYCUNApILqg_14_20"/>
      <w:bookmarkStart w:id="516" w:name="Tc_1EwSOpTZbESz6AK8CaoqLA_14_17"/>
      <w:bookmarkStart w:id="517" w:name="Tc_WpZv5-_eb0mPYwXWW0jz0w_14_14"/>
      <w:bookmarkStart w:id="518" w:name="Tc_Cjqn5S17r0SDHuDzBT4oyA_14_11"/>
      <w:bookmarkStart w:id="519" w:name="Tc_O7uFVQpTRUu7baP_7zvSzQ_14_5"/>
      <w:bookmarkStart w:id="520" w:name="Tc_U8EJZO8qSkClqfZdlZiXFA_14_0"/>
      <w:bookmarkStart w:id="521" w:name="Tc_F9hJWygtyUGhNE0qpnteWQ_13_20"/>
      <w:bookmarkStart w:id="522" w:name="Tc_uPo7CYl4KkCIFx_HVaRu5w_13_0"/>
      <w:bookmarkStart w:id="523" w:name="Tc_CGBd4xrUkE6b5V0-CuljHQ_12_20"/>
      <w:bookmarkStart w:id="524" w:name="Tc_RMgw4B-SoU6m9FkfV6efQg_12_14"/>
      <w:bookmarkStart w:id="525" w:name="Tc__FyQZ5l_KkiTDJfZtBIVZA_12_11"/>
      <w:bookmarkStart w:id="526" w:name="Tc_cq2EKcs1dU-_fdsc2b8FUg_12_8"/>
      <w:bookmarkStart w:id="527" w:name="Tc_Qt6M5hZy1EOZsqiVTT23sA_12_5"/>
      <w:bookmarkStart w:id="528" w:name="Tc_Gnizy4ZGTkKSTywJctqDNw_12_2"/>
      <w:bookmarkStart w:id="529" w:name="Tc_OM6eZ8eDnEuRpMi9qdQ7LQ_12_0"/>
      <w:bookmarkStart w:id="530" w:name="Tc_kYjlruXh1EGZiJs4jbC-ww_11_20"/>
      <w:bookmarkStart w:id="531" w:name="Tc_opJkzO9Xd0i5dH0lfIo0aQ_11_17"/>
      <w:bookmarkStart w:id="532" w:name="Tc_4Toq-QHR-UGTNkp2JzrSkA_11_11"/>
      <w:bookmarkStart w:id="533" w:name="Tc_e0v3fo7WtkumY7hTSULpgg_11_8"/>
      <w:bookmarkStart w:id="534" w:name="Tc_7cEbQbRnE0CvW2ONX6QJUQ_11_5"/>
      <w:bookmarkStart w:id="535" w:name="Tc_6zury7X1D0O2WHLuupBQAg_11_2"/>
      <w:bookmarkStart w:id="536" w:name="Tc_UKR6mvg8OEqbQgwzCA5KRw_11_0"/>
      <w:bookmarkStart w:id="537" w:name="Tc_0F_prONP-0i9YFvYtBMeuQ_10_20"/>
      <w:bookmarkStart w:id="538" w:name="Tc_0kfgNRT4sUOKB27CD6PRdw_10_17"/>
      <w:bookmarkStart w:id="539" w:name="Tc_lLJ40Ebsr0OELmdGF4ljrg_10_14"/>
      <w:bookmarkStart w:id="540" w:name="Tc_s76z5oxwC0K9XIMZPkBDUg_10_11"/>
      <w:bookmarkStart w:id="541" w:name="Tc_vM_PZSfkM0WYyru_322Y9Q_10_5"/>
      <w:bookmarkStart w:id="542" w:name="Tc_S3m-8ui9GUCaLihf3LldvQ_10_0"/>
      <w:bookmarkStart w:id="543" w:name="Tc_TvS5fIIwSk6lTS2CxXcoRQ_9_20"/>
      <w:bookmarkStart w:id="544" w:name="Tc_8zrEwGTWX0WI-lQAVxdnxw_9_17"/>
      <w:bookmarkStart w:id="545" w:name="Tc_zxvRe-9JFkyaQODgk_H_oQ_9_14"/>
      <w:bookmarkStart w:id="546" w:name="Tc_t0l_cm7mR0SAZhrqs5JRoQ_9_8"/>
      <w:bookmarkStart w:id="547" w:name="Tc_XlR_5fSJfEiECrSvrE27Yw_9_5"/>
      <w:bookmarkStart w:id="548" w:name="Tc__ZZozvS7pE2aSRYE_oZXjQ_9_0"/>
      <w:bookmarkStart w:id="549" w:name="Tc_UE78FljNw0qjvOCrFfwAOg_8_20"/>
      <w:bookmarkStart w:id="550" w:name="Tc_6JLfx1KGo0GipOcrw6J58A_8_17"/>
      <w:bookmarkStart w:id="551" w:name="Tc_S0GCwPCFd06yY3Oz8PA0Ng_8_14"/>
      <w:bookmarkStart w:id="552" w:name="Tc_p-CDK2I2F0Slf8VM630h7A_8_11"/>
      <w:bookmarkStart w:id="553" w:name="Tc_WsCZxJuM00upcnkSRnJhww_8_5"/>
      <w:bookmarkStart w:id="554" w:name="Tc_hX00erkvjkaOcmtj5AOefg_8_2"/>
      <w:bookmarkStart w:id="555" w:name="Tc_rtG93uUoPUGUd-zw3eyFYA_8_0"/>
      <w:bookmarkStart w:id="556" w:name="Tc_ZdbsKz0Y2UmGvG4QHXLTNw_7_20"/>
      <w:bookmarkStart w:id="557" w:name="Tc_QCYCoFdkjEexQhUdXItZTg_7_17"/>
      <w:bookmarkStart w:id="558" w:name="Tc_kJrLwrtgo0Ohrl0YowCNvg_7_14"/>
      <w:bookmarkStart w:id="559" w:name="Tc_FpsOE3fTbU-F0f-Q1Lrd5w_7_11"/>
      <w:bookmarkStart w:id="560" w:name="Tc_O9Sy7OKmREqfRVnZYP1ECA_7_5"/>
      <w:bookmarkStart w:id="561" w:name="Tc_kJjFB5wt-0CdsVxK5kSvLg_7_0"/>
      <w:bookmarkStart w:id="562" w:name="Tc_zS-q8zu0QEyo-2O4rL45eg_6_20"/>
      <w:bookmarkStart w:id="563" w:name="Tc_IFc1eGHpgEKrSZ9HncGWvg_6_17"/>
      <w:bookmarkStart w:id="564" w:name="Tc_0Jne3OpzxECq7G9DyPcQBQ_6_14"/>
      <w:bookmarkStart w:id="565" w:name="Tc_knHR7W0LYEyCk1zUuIbgPQ_6_11"/>
      <w:bookmarkStart w:id="566" w:name="Tc_KZYzCBM2GU28XwYvYcIsAg_6_5"/>
      <w:bookmarkStart w:id="567" w:name="Tc_h_pSG3koPUq2hREY4CH-Yw_6_0"/>
      <w:bookmarkStart w:id="568" w:name="Tc_M9kzPHl0QUKeQeq1AO2eqg_5_22"/>
      <w:bookmarkStart w:id="569" w:name="Tc_3nebuHxkGEqZHAVaH7zfFA_5_20"/>
      <w:bookmarkStart w:id="570" w:name="Tc_vXeL-TomYEep6Xu0H5CmFA_5_19"/>
      <w:bookmarkStart w:id="571" w:name="Tc_KBhxViYTO0uSRZCxetOAEQ_5_16"/>
      <w:bookmarkStart w:id="572" w:name="Tc_bjg9IRLqFkSfACTtvmHZfw_5_13"/>
      <w:bookmarkStart w:id="573" w:name="Tc_uCCNiRg6r02ST4J1c0Ae3g_5_11"/>
      <w:bookmarkStart w:id="574" w:name="Tc_9IRBH2iYMEKxcJN2_WUv5g_5_10"/>
      <w:bookmarkStart w:id="575" w:name="Tc_pQniFlfKVESPX6De7lGtCQ_5_4"/>
      <w:bookmarkStart w:id="576" w:name="Tc_wsKM5UF3l0uONUmEqjU77g_5_0"/>
      <w:bookmarkStart w:id="577" w:name="Tc_qNhwesRjH06FMXg9C27mFw_3_22"/>
      <w:bookmarkStart w:id="578" w:name="Tc_AURu0fdmF0CCmVnEzU7VEg_3_19"/>
      <w:bookmarkStart w:id="579" w:name="Tc_n90Bpn9nAE22053nrjd-gQ_3_16"/>
      <w:bookmarkStart w:id="580" w:name="Tc_PyqiYjHrA0qrKr0ZfZrAUw_3_13"/>
      <w:bookmarkStart w:id="581" w:name="Tc_21WNMsGjf0mBfmDPT_JZow_3_10"/>
      <w:bookmarkStart w:id="582" w:name="Tc_9W49opRuoEmlBJj0QYAHZA_3_7"/>
      <w:bookmarkStart w:id="583" w:name="Tc_xjR_BCyOhUeMBts7XygvgQ_3_4"/>
      <w:bookmarkStart w:id="584" w:name="Tc_MvtZ2fNvxUCkxgoPfjxrfg_3_2"/>
      <w:bookmarkStart w:id="585" w:name="Tc_1FpLbQQ4cECBu6zzXusygw_2_22"/>
      <w:bookmarkStart w:id="586" w:name="Tc_nFy5ZIHS3kG8qmh2eWgCQg_2_19"/>
      <w:bookmarkStart w:id="587" w:name="Tc_wEWhFlIQYUSk-vnWl3ZUKA_2_16"/>
      <w:bookmarkStart w:id="588" w:name="Tc_U-tbO7Q2KEm1BPSaGiEpnA_2_13"/>
      <w:bookmarkStart w:id="589" w:name="Tc_hpiLcLSMsUSI30UTnfEiUw_2_7"/>
      <w:bookmarkStart w:id="590" w:name="Tc_Xxk3pQgHf0iANrdeSZ5zFw_2_2"/>
      <w:bookmarkStart w:id="591" w:name="Tc_RtvJ3qicyEqXkFn0F_MIbA_1_22"/>
      <w:bookmarkStart w:id="592" w:name="Tc_1hznxEX07EG2FZZm0ZOfpQ_1_13"/>
      <w:bookmarkStart w:id="593" w:name="_434224a9_ed15_4531_bdef_13472227748a"/>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tbl>
      <w:tblPr>
        <w:tblW w:w="10205" w:type="dxa"/>
        <w:jc w:val="left"/>
        <w:tblInd w:w="0" w:type="dxa"/>
        <w:tblLayout w:type="fixed"/>
        <w:tblCellMar>
          <w:top w:w="0" w:type="dxa"/>
          <w:left w:w="0" w:type="dxa"/>
          <w:bottom w:w="0" w:type="dxa"/>
          <w:right w:w="0" w:type="dxa"/>
        </w:tblCellMar>
      </w:tblPr>
      <w:tblGrid>
        <w:gridCol w:w="2717"/>
        <w:gridCol w:w="346"/>
        <w:gridCol w:w="668"/>
        <w:gridCol w:w="109"/>
        <w:gridCol w:w="166"/>
        <w:gridCol w:w="346"/>
        <w:gridCol w:w="109"/>
        <w:gridCol w:w="153"/>
        <w:gridCol w:w="701"/>
        <w:gridCol w:w="109"/>
        <w:gridCol w:w="205"/>
        <w:gridCol w:w="639"/>
        <w:gridCol w:w="109"/>
        <w:gridCol w:w="330"/>
        <w:gridCol w:w="695"/>
        <w:gridCol w:w="109"/>
        <w:gridCol w:w="179"/>
        <w:gridCol w:w="587"/>
        <w:gridCol w:w="109"/>
        <w:gridCol w:w="292"/>
        <w:gridCol w:w="609"/>
        <w:gridCol w:w="109"/>
        <w:gridCol w:w="179"/>
        <w:gridCol w:w="630"/>
      </w:tblGrid>
      <w:tr>
        <w:trPr/>
        <w:tc>
          <w:tcPr>
            <w:tcW w:w="2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725295" cy="175260"/>
                      <wp:effectExtent l="0" t="0" r="0" b="0"/>
                      <wp:wrapNone/>
                      <wp:docPr id="21" name="Frame21"/>
                      <a:graphic xmlns:a="http://schemas.openxmlformats.org/drawingml/2006/main">
                        <a:graphicData uri="http://schemas.microsoft.com/office/word/2010/wordprocessingShape">
                          <wps:wsp>
                            <wps:cNvSpPr txBox="1"/>
                            <wps:spPr>
                              <a:xfrm>
                                <a:off x="0" y="0"/>
                                <a:ext cx="172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4180" cy="175260"/>
                      <wp:effectExtent l="0" t="0" r="0" b="0"/>
                      <wp:wrapNone/>
                      <wp:docPr id="23" name="Frame23"/>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05410" cy="175260"/>
                      <wp:effectExtent l="0" t="0" r="0" b="0"/>
                      <wp:wrapNone/>
                      <wp:docPr id="25" name="Frame2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155" cy="175260"/>
                      <wp:effectExtent l="0" t="0" r="0" b="0"/>
                      <wp:wrapNone/>
                      <wp:docPr id="28" name="Frame28"/>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45135" cy="175260"/>
                      <wp:effectExtent l="0" t="0" r="0" b="0"/>
                      <wp:wrapNone/>
                      <wp:docPr id="29" name="Frame29"/>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175" cy="175260"/>
                      <wp:effectExtent l="0" t="0" r="0" b="0"/>
                      <wp:wrapNone/>
                      <wp:docPr id="31" name="Frame31"/>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5765" cy="175260"/>
                      <wp:effectExtent l="0" t="0" r="0" b="0"/>
                      <wp:wrapNone/>
                      <wp:docPr id="32" name="Frame32"/>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9550" cy="175260"/>
                      <wp:effectExtent l="0" t="0" r="0" b="0"/>
                      <wp:wrapNone/>
                      <wp:docPr id="34" name="Frame3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41325" cy="175260"/>
                      <wp:effectExtent l="0" t="0" r="0" b="0"/>
                      <wp:wrapNone/>
                      <wp:docPr id="35" name="Frame35"/>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3665" cy="175260"/>
                      <wp:effectExtent l="0" t="0" r="0" b="0"/>
                      <wp:wrapNone/>
                      <wp:docPr id="37" name="Frame37"/>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72745" cy="175260"/>
                      <wp:effectExtent l="0" t="0" r="0" b="0"/>
                      <wp:wrapNone/>
                      <wp:docPr id="38" name="Frame38"/>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5420" cy="175260"/>
                      <wp:effectExtent l="0" t="0" r="0" b="0"/>
                      <wp:wrapNone/>
                      <wp:docPr id="40" name="Frame4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6715" cy="175260"/>
                      <wp:effectExtent l="0" t="0" r="0" b="0"/>
                      <wp:wrapNone/>
                      <wp:docPr id="41" name="Frame41"/>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13665" cy="175260"/>
                      <wp:effectExtent l="0" t="0" r="0" b="0"/>
                      <wp:wrapNone/>
                      <wp:docPr id="43" name="Frame43"/>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00050" cy="175260"/>
                      <wp:effectExtent l="0" t="0" r="0" b="0"/>
                      <wp:wrapNone/>
                      <wp:docPr id="44" name="Frame44"/>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3"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Accumulated Other</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9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09"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Total</w:t>
            </w:r>
          </w:p>
        </w:tc>
      </w:tr>
      <w:tr>
        <w:trPr/>
        <w:tc>
          <w:tcPr>
            <w:tcW w:w="27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Ordinary</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54"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Capital in Excess</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Accumulated</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Non-Controlling</w:t>
            </w:r>
          </w:p>
        </w:tc>
        <w:tc>
          <w:tcPr>
            <w:tcW w:w="109" w:type="dxa"/>
            <w:tcBorders/>
            <w:vAlign w:val="center"/>
          </w:tcPr>
          <w:p>
            <w:pPr>
              <w:pStyle w:val="TableContents"/>
              <w:bidi w:val="0"/>
              <w:spacing w:before="0" w:after="1"/>
              <w:ind w:left="0" w:right="0" w:hanging="0"/>
              <w:jc w:val="left"/>
              <w:rPr/>
            </w:pPr>
            <w:r>
              <w:rPr/>
              <w:t>​</w:t>
            </w:r>
          </w:p>
        </w:tc>
        <w:tc>
          <w:tcPr>
            <w:tcW w:w="809"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Shareholders'</w:t>
            </w:r>
          </w:p>
        </w:tc>
      </w:tr>
      <w:tr>
        <w:trPr/>
        <w:tc>
          <w:tcPr>
            <w:tcW w:w="27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Shares</w:t>
            </w:r>
          </w:p>
        </w:tc>
        <w:tc>
          <w:tcPr>
            <w:tcW w:w="109" w:type="dxa"/>
            <w:tcBorders/>
            <w:vAlign w:val="center"/>
          </w:tcPr>
          <w:p>
            <w:pPr>
              <w:pStyle w:val="TableContents"/>
              <w:bidi w:val="0"/>
              <w:spacing w:before="0" w:after="1"/>
              <w:ind w:left="0" w:right="0" w:hanging="0"/>
              <w:jc w:val="left"/>
              <w:rPr/>
            </w:pPr>
            <w:r>
              <w:rPr/>
              <w:t>​</w:t>
            </w:r>
          </w:p>
        </w:tc>
        <w:tc>
          <w:tcPr>
            <w:tcW w:w="5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Amount</w:t>
            </w:r>
          </w:p>
        </w:tc>
        <w:tc>
          <w:tcPr>
            <w:tcW w:w="109" w:type="dxa"/>
            <w:tcBorders/>
            <w:vAlign w:val="center"/>
          </w:tcPr>
          <w:p>
            <w:pPr>
              <w:pStyle w:val="TableContents"/>
              <w:bidi w:val="0"/>
              <w:spacing w:before="0" w:after="1"/>
              <w:ind w:left="0" w:right="0" w:hanging="0"/>
              <w:jc w:val="left"/>
              <w:rPr/>
            </w:pPr>
            <w:r>
              <w:rPr/>
              <w:t>​</w:t>
            </w:r>
          </w:p>
        </w:tc>
        <w:tc>
          <w:tcPr>
            <w:tcW w:w="8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of Par Value</w:t>
            </w:r>
          </w:p>
        </w:tc>
        <w:tc>
          <w:tcPr>
            <w:tcW w:w="109" w:type="dxa"/>
            <w:tcBorders/>
            <w:vAlign w:val="center"/>
          </w:tcPr>
          <w:p>
            <w:pPr>
              <w:pStyle w:val="TableContents"/>
              <w:bidi w:val="0"/>
              <w:spacing w:before="0" w:after="1"/>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Treasury Shares</w:t>
            </w:r>
          </w:p>
        </w:tc>
        <w:tc>
          <w:tcPr>
            <w:tcW w:w="109" w:type="dxa"/>
            <w:tcBorders/>
            <w:vAlign w:val="center"/>
          </w:tcPr>
          <w:p>
            <w:pPr>
              <w:pStyle w:val="TableContents"/>
              <w:bidi w:val="0"/>
              <w:spacing w:before="0" w:after="1"/>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Gain</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Deficit</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Interest</w:t>
            </w:r>
          </w:p>
        </w:tc>
        <w:tc>
          <w:tcPr>
            <w:tcW w:w="109" w:type="dxa"/>
            <w:tcBorders/>
            <w:vAlign w:val="center"/>
          </w:tcPr>
          <w:p>
            <w:pPr>
              <w:pStyle w:val="TableContents"/>
              <w:bidi w:val="0"/>
              <w:spacing w:before="0" w:after="1"/>
              <w:ind w:left="0" w:right="0" w:hanging="0"/>
              <w:jc w:val="left"/>
              <w:rPr/>
            </w:pPr>
            <w:r>
              <w:rPr/>
              <w:t>​</w:t>
            </w:r>
          </w:p>
        </w:tc>
        <w:tc>
          <w:tcPr>
            <w:tcW w:w="8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Deficit</w:t>
            </w:r>
          </w:p>
        </w:tc>
      </w:tr>
      <w:tr>
        <w:trPr/>
        <w:tc>
          <w:tcPr>
            <w:tcW w:w="27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3"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9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center"/>
              <w:rPr/>
            </w:pPr>
            <w:r>
              <w:rPr/>
              <w:t>​</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81,120,931</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53"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808,021</w:t>
            </w:r>
          </w:p>
        </w:tc>
        <w:tc>
          <w:tcPr>
            <w:tcW w:w="109"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2,406</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(816,223)</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(5,793)</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activity</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824,466</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(2,244)</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(2,244)</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in at-the-market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1,770,729</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14,027</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14,027</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costs in connection with ordinary shares</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(35)</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(35)</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Repurchase of treasury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(2,300,000)</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(18,193)</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(18,193)</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in connection with license agreement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30,000</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249</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249</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Other comprehensive gain</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172</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172</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 for the three-month period ended March 31, 2026</w:t>
            </w:r>
          </w:p>
        </w:tc>
        <w:tc>
          <w:tcPr>
            <w:tcW w:w="346" w:type="dxa"/>
            <w:tcBorders/>
            <w:vAlign w:val="center"/>
          </w:tcPr>
          <w:p>
            <w:pPr>
              <w:pStyle w:val="TableContents"/>
              <w:bidi w:val="0"/>
              <w:spacing w:before="0" w:after="1"/>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(46,313)</w:t>
            </w:r>
          </w:p>
        </w:tc>
        <w:tc>
          <w:tcPr>
            <w:tcW w:w="109" w:type="dxa"/>
            <w:tcBorders/>
            <w:vAlign w:val="center"/>
          </w:tcPr>
          <w:p>
            <w:pPr>
              <w:pStyle w:val="TableContents"/>
              <w:bidi w:val="0"/>
              <w:spacing w:before="0" w:after="1"/>
              <w:ind w:left="0" w:right="0" w:hanging="0"/>
              <w:jc w:val="righ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(46,313)</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Balance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81,446,126</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820,018</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(18,193)</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2,578</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(862,536)</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(58,130)</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activity</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237,245</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4,545</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4,545</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in at-the-market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1,393,636</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14,180</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14,180</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in connection with registered offering</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11,111,111</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Contributions from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Sale of non-controlling interest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412</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261</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673</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costs in connection with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righ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(6,832)</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shd w:fill="CCEEFF" w:val="clear"/>
            <w:vAlign w:val="center"/>
          </w:tcPr>
          <w:p>
            <w:pPr>
              <w:pStyle w:val="TableContents"/>
              <w:bidi w:val="0"/>
              <w:spacing w:before="0" w:after="1"/>
              <w:ind w:left="0" w:right="0" w:hanging="0"/>
              <w:jc w:val="righ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shd w:fill="CCEEFF" w:val="clear"/>
            <w:vAlign w:val="center"/>
          </w:tcPr>
          <w:p>
            <w:pPr>
              <w:pStyle w:val="TableContents"/>
              <w:bidi w:val="0"/>
              <w:spacing w:before="0" w:after="1"/>
              <w:ind w:left="0" w:right="0" w:hanging="0"/>
              <w:jc w:val="right"/>
              <w:rPr/>
            </w:pPr>
            <w:r>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(6,832)</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Other comprehensive gain (loss)</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right"/>
              <w:rPr/>
            </w:pPr>
            <w:r>
              <w:rPr/>
              <w:t>​</w:t>
            </w:r>
          </w:p>
        </w:tc>
        <w:tc>
          <w:tcPr>
            <w:tcW w:w="7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5" w:type="dxa"/>
            <w:tcBorders/>
            <w:vAlign w:val="center"/>
          </w:tcPr>
          <w:p>
            <w:pPr>
              <w:pStyle w:val="TableContents"/>
              <w:bidi w:val="0"/>
              <w:spacing w:before="0" w:after="1"/>
              <w:ind w:left="0" w:right="0" w:hanging="0"/>
              <w:jc w:val="right"/>
              <w:rPr/>
            </w:pPr>
            <w:r>
              <w:rPr/>
              <w:t>​</w:t>
            </w:r>
          </w:p>
        </w:tc>
        <w:tc>
          <w:tcPr>
            <w:tcW w:w="6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677</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92" w:type="dxa"/>
            <w:tcBorders/>
            <w:vAlign w:val="center"/>
          </w:tcPr>
          <w:p>
            <w:pPr>
              <w:pStyle w:val="TableContents"/>
              <w:bidi w:val="0"/>
              <w:spacing w:before="0" w:after="1"/>
              <w:ind w:left="0" w:right="0" w:hanging="0"/>
              <w:jc w:val="right"/>
              <w:rPr/>
            </w:pPr>
            <w:r>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673</w:t>
            </w:r>
          </w:p>
        </w:tc>
      </w:tr>
      <w:tr>
        <w:trPr/>
        <w:tc>
          <w:tcPr>
            <w:tcW w:w="2717"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income (loss) for the three-month period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160,720</w:t>
            </w:r>
          </w:p>
        </w:tc>
        <w:tc>
          <w:tcPr>
            <w:tcW w:w="109" w:type="dxa"/>
            <w:tcBorders/>
            <w:shd w:fill="CCEEFF" w:val="clear"/>
            <w:vAlign w:val="center"/>
          </w:tcPr>
          <w:p>
            <w:pPr>
              <w:pStyle w:val="TableContents"/>
              <w:bidi w:val="0"/>
              <w:spacing w:before="0" w:after="1"/>
              <w:ind w:left="0" w:right="0" w:hanging="0"/>
              <w:jc w:val="righ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(51)</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160,669</w:t>
            </w:r>
          </w:p>
        </w:tc>
      </w:tr>
      <w:tr>
        <w:trPr/>
        <w:tc>
          <w:tcPr>
            <w:tcW w:w="2717"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Balance at June 30, 2026</w:t>
            </w:r>
          </w:p>
        </w:tc>
        <w:tc>
          <w:tcPr>
            <w:tcW w:w="346" w:type="dxa"/>
            <w:tcBorders/>
            <w:vAlign w:val="center"/>
          </w:tcPr>
          <w:p>
            <w:pPr>
              <w:pStyle w:val="TableContents"/>
              <w:bidi w:val="0"/>
              <w:spacing w:before="0" w:after="1"/>
              <w:ind w:left="0" w:right="0" w:hanging="0"/>
              <w:jc w:val="left"/>
              <w:rPr/>
            </w:pPr>
            <w:r>
              <w:rPr/>
              <w:t>​</w:t>
            </w:r>
          </w:p>
        </w:tc>
        <w:tc>
          <w:tcPr>
            <w:tcW w:w="6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94,188,118</w:t>
            </w:r>
          </w:p>
        </w:tc>
        <w:tc>
          <w:tcPr>
            <w:tcW w:w="109"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vAlign w:val="center"/>
          </w:tcPr>
          <w:p>
            <w:pPr>
              <w:pStyle w:val="TableContents"/>
              <w:bidi w:val="0"/>
              <w:spacing w:before="0" w:after="1"/>
              <w:ind w:left="0" w:right="0" w:hanging="0"/>
              <w:jc w:val="left"/>
              <w:rPr/>
            </w:pPr>
            <w:r>
              <w:rPr/>
              <w:t>​</w:t>
            </w:r>
          </w:p>
        </w:tc>
        <w:tc>
          <w:tcPr>
            <w:tcW w:w="15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932,323</w:t>
            </w:r>
          </w:p>
        </w:tc>
        <w:tc>
          <w:tcPr>
            <w:tcW w:w="109"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(18,193)</w:t>
            </w:r>
          </w:p>
        </w:tc>
        <w:tc>
          <w:tcPr>
            <w:tcW w:w="109" w:type="dxa"/>
            <w:tcBorders/>
            <w:vAlign w:val="center"/>
          </w:tcPr>
          <w:p>
            <w:pPr>
              <w:pStyle w:val="TableContents"/>
              <w:bidi w:val="0"/>
              <w:spacing w:before="0" w:after="1"/>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3,255</w:t>
            </w:r>
          </w:p>
        </w:tc>
        <w:tc>
          <w:tcPr>
            <w:tcW w:w="109" w:type="dxa"/>
            <w:tcBorders/>
            <w:vAlign w:val="center"/>
          </w:tcPr>
          <w:p>
            <w:pPr>
              <w:pStyle w:val="TableContents"/>
              <w:bidi w:val="0"/>
              <w:spacing w:before="0" w:after="1"/>
              <w:ind w:left="0" w:right="0" w:hanging="0"/>
              <w:jc w:val="left"/>
              <w:rPr/>
            </w:pPr>
            <w:r>
              <w:rPr/>
              <w:t>​</w:t>
            </w:r>
          </w:p>
        </w:tc>
        <w:tc>
          <w:tcPr>
            <w:tcW w:w="1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(701,816)</w:t>
            </w:r>
          </w:p>
        </w:tc>
        <w:tc>
          <w:tcPr>
            <w:tcW w:w="109" w:type="dxa"/>
            <w:tcBorders/>
            <w:vAlign w:val="center"/>
          </w:tcPr>
          <w:p>
            <w:pPr>
              <w:pStyle w:val="TableContents"/>
              <w:bidi w:val="0"/>
              <w:spacing w:before="0" w:after="1"/>
              <w:ind w:left="0" w:right="0" w:hanging="0"/>
              <w:jc w:val="righ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209</w:t>
            </w:r>
          </w:p>
        </w:tc>
        <w:tc>
          <w:tcPr>
            <w:tcW w:w="109" w:type="dxa"/>
            <w:tcBorders/>
            <w:vAlign w:val="center"/>
          </w:tcPr>
          <w:p>
            <w:pPr>
              <w:pStyle w:val="TableContents"/>
              <w:bidi w:val="0"/>
              <w:spacing w:before="0" w:after="1"/>
              <w:ind w:left="0" w:right="0" w:hanging="0"/>
              <w:jc w:val="left"/>
              <w:rPr/>
            </w:pPr>
            <w:r>
              <w:rPr/>
              <w:t>​</w:t>
            </w:r>
          </w:p>
        </w:tc>
        <w:tc>
          <w:tcPr>
            <w:tcW w:w="1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0" w:type="dxa"/>
            <w:tcBorders>
              <w:bottom w:val="double" w:sz="6" w:space="0" w:color="000000"/>
            </w:tcBorders>
            <w:tcMar>
              <w:bottom w:w="28" w:type="dxa"/>
            </w:tcMar>
            <w:vAlign w:val="center"/>
          </w:tcPr>
          <w:p>
            <w:pPr>
              <w:pStyle w:val="TableContents"/>
              <w:bidi w:val="0"/>
              <w:spacing w:before="0" w:after="1"/>
              <w:ind w:left="0" w:right="36" w:hanging="0"/>
              <w:jc w:val="right"/>
              <w:rPr>
                <w:rFonts w:ascii="Times New Roman;Times;serif" w:hAnsi="Times New Roman;Times;serif"/>
                <w:sz w:val="12"/>
              </w:rPr>
            </w:pPr>
            <w:r>
              <w:rPr>
                <w:rFonts w:ascii="Times New Roman;Times;serif" w:hAnsi="Times New Roman;Times;serif"/>
                <w:sz w:val="12"/>
              </w:rPr>
              <w:t>215,781</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bookmarkStart w:id="594" w:name="SHAREHOLDERSDEFICITEQUITY_618444"/>
      <w:bookmarkEnd w:id="594"/>
      <w:r>
        <w:rPr>
          <w:rFonts w:ascii="Times New Roman;Times;serif" w:hAnsi="Times New Roman;Times;serif"/>
          <w:b/>
          <w:sz w:val="20"/>
        </w:rPr>
        <w:t>CONDENSED CONSOLIDATED STATEMENT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PERIOD ENDED JUNE 30,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40"/>
        <w:ind w:left="0" w:right="0" w:firstLine="720"/>
        <w:jc w:val="both"/>
        <w:rPr/>
      </w:pPr>
      <w:r>
        <w:rPr/>
        <w:t>​</w:t>
      </w:r>
    </w:p>
    <w:p>
      <w:pPr>
        <w:pStyle w:val="Normal"/>
        <w:bidi w:val="0"/>
        <w:spacing w:before="0" w:after="0"/>
        <w:jc w:val="left"/>
        <w:rPr>
          <w:sz w:val="4"/>
          <w:szCs w:val="4"/>
        </w:rPr>
      </w:pPr>
      <w:r>
        <w:rPr>
          <w:sz w:val="4"/>
          <w:szCs w:val="4"/>
        </w:rPr>
      </w:r>
      <w:bookmarkStart w:id="595" w:name="Tc_HPf7vacz7UaTYQpCq3J0TQ_17_16"/>
      <w:bookmarkStart w:id="596" w:name="Tc_o_6HuZqbSUW0liaUPsMUEQ_17_13"/>
      <w:bookmarkStart w:id="597" w:name="Tc_Ei3YQqbNGEObt9LhxPgowA_17_10"/>
      <w:bookmarkStart w:id="598" w:name="Tc_ZRtDTSMCPEOl1ZRnQWVI6A_17_7"/>
      <w:bookmarkStart w:id="599" w:name="Tc_ZQnQj8vdkkuxKUDGeVqRyg_17_4"/>
      <w:bookmarkStart w:id="600" w:name="Tc_EdnIKdIlz0-tIrbhpt_7Qw_17_0"/>
      <w:bookmarkStart w:id="601" w:name="Tc__1pK723GU0SCfqedNKZJSg_16_11"/>
      <w:bookmarkStart w:id="602" w:name="Tc_77wxb_r2WEqszlOG16YZmA_16_8"/>
      <w:bookmarkStart w:id="603" w:name="Tc_O4kgpuFJy0SswuRW2eBVRw_16_7"/>
      <w:bookmarkStart w:id="604" w:name="Tc_OdbbCkX_Jk-6wpiCcNxO7g_16_5"/>
      <w:bookmarkStart w:id="605" w:name="Tc_uUisDQgX0Ei_9YkDuG-39w_16_2"/>
      <w:bookmarkStart w:id="606" w:name="Tc_8ZEeKdj_nUufiTQ_w1gsLQ_16_0"/>
      <w:bookmarkStart w:id="607" w:name="Tc_OvcTktztA0m1Z-F8WardqQ_15_14"/>
      <w:bookmarkStart w:id="608" w:name="Tc_O_wt5KnEHU-fKQd392j5CQ_15_8"/>
      <w:bookmarkStart w:id="609" w:name="Tc_lnBqww5j_UaMXSHqqax0JQ_15_7"/>
      <w:bookmarkStart w:id="610" w:name="Tc_U8IlgZi6pUO-OF3hXWX39Q_15_5"/>
      <w:bookmarkStart w:id="611" w:name="Tc_FCVbtT7CSUuNDmIPd7xR1w_15_2"/>
      <w:bookmarkStart w:id="612" w:name="Tc_sf8LbwBp60mWazmYK7szjg_15_0"/>
      <w:bookmarkStart w:id="613" w:name="Tc_C0uPPc0Rl0GmR4wuj8JXjA_14_14"/>
      <w:bookmarkStart w:id="614" w:name="Tc_WvHwFlaWBk2hjIR3P7Fsig_14_11"/>
      <w:bookmarkStart w:id="615" w:name="Tc_AABFk3xzjU2TmnXNFOANxQ_14_7"/>
      <w:bookmarkStart w:id="616" w:name="Tc_4kePtTuUokOJSF5KbBghdQ_14_5"/>
      <w:bookmarkStart w:id="617" w:name="Tc_rNluhTd5HUWvM6L0yUysGA_14_2"/>
      <w:bookmarkStart w:id="618" w:name="Tc_dU2WpqxdTkasGpef14_d8g_14_0"/>
      <w:bookmarkStart w:id="619" w:name="Tc_5lsMd5W7i0-BRReF7SUcbQ_13_14"/>
      <w:bookmarkStart w:id="620" w:name="Tc_rueV7ahBSUGiVGb3Quqp9w_13_11"/>
      <w:bookmarkStart w:id="621" w:name="Tc_DsKmo-4j2Emf6HX0eQI1yQ_13_7"/>
      <w:bookmarkStart w:id="622" w:name="Tc_6_nCWefjRECLd0na_6q2xw_13_5"/>
      <w:bookmarkStart w:id="623" w:name="Tc_bOnNBvLNwkaRSKZa-zn5mw_13_0"/>
      <w:bookmarkStart w:id="624" w:name="Tc_biNwXCz7vEuYb653H0yv3g_12_14"/>
      <w:bookmarkStart w:id="625" w:name="Tc_1XD4tLJ05kmnzkiHyThOag_12_11"/>
      <w:bookmarkStart w:id="626" w:name="Tc_LqpKlsBpZU2AHhc13yfx8Q_12_7"/>
      <w:bookmarkStart w:id="627" w:name="Tc_GfzWPHY7ekenf52WzW1gAQ_12_5"/>
      <w:bookmarkStart w:id="628" w:name="Tc_kGA1KoZf6k2eObKnF5oBOQ_12_0"/>
      <w:bookmarkStart w:id="629" w:name="Tc_37lWkeOte0ed-ApGEMlZlA_11_7"/>
      <w:bookmarkStart w:id="630" w:name="Tc_k1ogW01yVEKc0WAIq8oRPg_11_0"/>
      <w:bookmarkStart w:id="631" w:name="Tc_ZuZNYmTkUkCOTZKfa5jZZg_10_11"/>
      <w:bookmarkStart w:id="632" w:name="Tc_lhusLsimtU6yzP08l0eW_Q_10_8"/>
      <w:bookmarkStart w:id="633" w:name="Tc_iYFeVn-RIEGGLUqc_-s8zg_10_5"/>
      <w:bookmarkStart w:id="634" w:name="Tc_xXgWvwMuk02GeuaALkqdXg_10_2"/>
      <w:bookmarkStart w:id="635" w:name="Tc_6Ultb6I_IEGT8B6_P5pqSA_10_0"/>
      <w:bookmarkStart w:id="636" w:name="Tc_ikQNBH4CUkqqQnmpg-MSXQ_9_14"/>
      <w:bookmarkStart w:id="637" w:name="Tc_5mkeMeI43ECc6K23ciyE4Q_9_8"/>
      <w:bookmarkStart w:id="638" w:name="Tc_hfTxQ0JduUezRfpVlVsEMw_9_7"/>
      <w:bookmarkStart w:id="639" w:name="Tc_tXHhPxeUnUiVraWKHpaUTg_9_5"/>
      <w:bookmarkStart w:id="640" w:name="Tc_S8CtSSPTl0i9Qzqa5wybjw_9_2"/>
      <w:bookmarkStart w:id="641" w:name="Tc_MIjulzdrG06wgnYWEiBh4Q_9_0"/>
      <w:bookmarkStart w:id="642" w:name="Tc_faprt10NtU-zyl-s1HxpWg_8_14"/>
      <w:bookmarkStart w:id="643" w:name="Tc_dKUQ0j9g60-qSYOPMz0Rtg_8_11"/>
      <w:bookmarkStart w:id="644" w:name="Tc_4jIeqWsxtU-E28yvff9cnA_8_5"/>
      <w:bookmarkStart w:id="645" w:name="Tc_WS4VB3s8gEO0S1VoU7syGg_8_2"/>
      <w:bookmarkStart w:id="646" w:name="Tc_n23LoF3ckUuZYV5U9HiEqA_8_0"/>
      <w:bookmarkStart w:id="647" w:name="Tc_Qt6faAX1rEiOi2HtoYPVMg_7_14"/>
      <w:bookmarkStart w:id="648" w:name="Tc_Da4ouQez80Cf5IdvFJpPIA_7_11"/>
      <w:bookmarkStart w:id="649" w:name="Tc_8w75ueFmU06cbjzM5QYBQg_7_7"/>
      <w:bookmarkStart w:id="650" w:name="Tc_MPimxE1hAkWt9L4wnNsDcQ_7_5"/>
      <w:bookmarkStart w:id="651" w:name="Tc_P3S-Lqc9QkKSjLzisWJiHA_7_0"/>
      <w:bookmarkStart w:id="652" w:name="Tc_amWSkR41mkm7XlDS0xvB0Q_6_14"/>
      <w:bookmarkStart w:id="653" w:name="Tc__cYX65zdH0ex_rlzKvDmfg_6_11"/>
      <w:bookmarkStart w:id="654" w:name="Tc_9Tqg5NDuG0e9aUmRMt1fFQ_6_7"/>
      <w:bookmarkStart w:id="655" w:name="Tc_-owOuMxXKky1cfjYfNIiNg_6_5"/>
      <w:bookmarkStart w:id="656" w:name="Tc_iPlpC8OHQkuGcwtFHYnLpw_6_0"/>
      <w:bookmarkStart w:id="657" w:name="Tc_Lo_RaeTDLkWAYDvMeXXabg_5_16"/>
      <w:bookmarkStart w:id="658" w:name="Tc_q-CYocOpBEy2QDJjwgtshA_5_13"/>
      <w:bookmarkStart w:id="659" w:name="Tc_Eq1M5SyuRkua22qK5X3dLQ_5_10"/>
      <w:bookmarkStart w:id="660" w:name="Tc_fZUcV-_Sv06zUTs5_Y-U8Q_5_7"/>
      <w:bookmarkStart w:id="661" w:name="Tc_ksxPjeRlPEW3yf7iBR0-qQ_5_4"/>
      <w:bookmarkStart w:id="662" w:name="Tc_8PDrNLyeA0W7mhwY2pNsoA_5_0"/>
      <w:bookmarkStart w:id="663" w:name="Tc__TCTyYOSok63ts29wPks7g_3_16"/>
      <w:bookmarkStart w:id="664" w:name="Tc_qV-6CRx4KUCSP3Q24qaBDw_3_13"/>
      <w:bookmarkStart w:id="665" w:name="Tc_LX0rEpMYYEalbYSahALpeg_3_10"/>
      <w:bookmarkStart w:id="666" w:name="Tc_B5xrVp9TC0mQ4XC9QsjeHQ_3_7"/>
      <w:bookmarkStart w:id="667" w:name="Tc_ygyy8hub10WFdPihvLdIAQ_3_4"/>
      <w:bookmarkStart w:id="668" w:name="Tc_ER6a3HGMnkCNuZqGMBmkFQ_3_2"/>
      <w:bookmarkStart w:id="669" w:name="Tc_NYymzbgRtk24gPXwryO5LA_2_16"/>
      <w:bookmarkStart w:id="670" w:name="Tc_1PdY3nKPaECAdjcnsaqEyQ_2_13"/>
      <w:bookmarkStart w:id="671" w:name="Tc_0Kq2XPV8-0u6RiRENEK9Ug_2_10"/>
      <w:bookmarkStart w:id="672" w:name="Tc_HokRbf0muUKn2NT35cO7Jg_2_7"/>
      <w:bookmarkStart w:id="673" w:name="Tc_MYWsACt3s0SsuYyzwQGvNA_2_2"/>
      <w:bookmarkStart w:id="674" w:name="Tc_4trQaAzoMUuaWxv4fBvXVQ_1_16"/>
      <w:bookmarkStart w:id="675" w:name="Tc_E2xtQ4LmdkmDWdvkNz7aRA_1_10"/>
      <w:bookmarkStart w:id="676" w:name="_d61b3e0a_4508_477a_9da7_908602602a26"/>
      <w:bookmarkStart w:id="677" w:name="Tc_HPf7vacz7UaTYQpCq3J0TQ_17_16"/>
      <w:bookmarkStart w:id="678" w:name="Tc_o_6HuZqbSUW0liaUPsMUEQ_17_13"/>
      <w:bookmarkStart w:id="679" w:name="Tc_Ei3YQqbNGEObt9LhxPgowA_17_10"/>
      <w:bookmarkStart w:id="680" w:name="Tc_ZRtDTSMCPEOl1ZRnQWVI6A_17_7"/>
      <w:bookmarkStart w:id="681" w:name="Tc_ZQnQj8vdkkuxKUDGeVqRyg_17_4"/>
      <w:bookmarkStart w:id="682" w:name="Tc_EdnIKdIlz0-tIrbhpt_7Qw_17_0"/>
      <w:bookmarkStart w:id="683" w:name="Tc__1pK723GU0SCfqedNKZJSg_16_11"/>
      <w:bookmarkStart w:id="684" w:name="Tc_77wxb_r2WEqszlOG16YZmA_16_8"/>
      <w:bookmarkStart w:id="685" w:name="Tc_O4kgpuFJy0SswuRW2eBVRw_16_7"/>
      <w:bookmarkStart w:id="686" w:name="Tc_OdbbCkX_Jk-6wpiCcNxO7g_16_5"/>
      <w:bookmarkStart w:id="687" w:name="Tc_uUisDQgX0Ei_9YkDuG-39w_16_2"/>
      <w:bookmarkStart w:id="688" w:name="Tc_8ZEeKdj_nUufiTQ_w1gsLQ_16_0"/>
      <w:bookmarkStart w:id="689" w:name="Tc_OvcTktztA0m1Z-F8WardqQ_15_14"/>
      <w:bookmarkStart w:id="690" w:name="Tc_O_wt5KnEHU-fKQd392j5CQ_15_8"/>
      <w:bookmarkStart w:id="691" w:name="Tc_lnBqww5j_UaMXSHqqax0JQ_15_7"/>
      <w:bookmarkStart w:id="692" w:name="Tc_U8IlgZi6pUO-OF3hXWX39Q_15_5"/>
      <w:bookmarkStart w:id="693" w:name="Tc_FCVbtT7CSUuNDmIPd7xR1w_15_2"/>
      <w:bookmarkStart w:id="694" w:name="Tc_sf8LbwBp60mWazmYK7szjg_15_0"/>
      <w:bookmarkStart w:id="695" w:name="Tc_C0uPPc0Rl0GmR4wuj8JXjA_14_14"/>
      <w:bookmarkStart w:id="696" w:name="Tc_WvHwFlaWBk2hjIR3P7Fsig_14_11"/>
      <w:bookmarkStart w:id="697" w:name="Tc_AABFk3xzjU2TmnXNFOANxQ_14_7"/>
      <w:bookmarkStart w:id="698" w:name="Tc_4kePtTuUokOJSF5KbBghdQ_14_5"/>
      <w:bookmarkStart w:id="699" w:name="Tc_rNluhTd5HUWvM6L0yUysGA_14_2"/>
      <w:bookmarkStart w:id="700" w:name="Tc_dU2WpqxdTkasGpef14_d8g_14_0"/>
      <w:bookmarkStart w:id="701" w:name="Tc_5lsMd5W7i0-BRReF7SUcbQ_13_14"/>
      <w:bookmarkStart w:id="702" w:name="Tc_rueV7ahBSUGiVGb3Quqp9w_13_11"/>
      <w:bookmarkStart w:id="703" w:name="Tc_DsKmo-4j2Emf6HX0eQI1yQ_13_7"/>
      <w:bookmarkStart w:id="704" w:name="Tc_6_nCWefjRECLd0na_6q2xw_13_5"/>
      <w:bookmarkStart w:id="705" w:name="Tc_bOnNBvLNwkaRSKZa-zn5mw_13_0"/>
      <w:bookmarkStart w:id="706" w:name="Tc_biNwXCz7vEuYb653H0yv3g_12_14"/>
      <w:bookmarkStart w:id="707" w:name="Tc_1XD4tLJ05kmnzkiHyThOag_12_11"/>
      <w:bookmarkStart w:id="708" w:name="Tc_LqpKlsBpZU2AHhc13yfx8Q_12_7"/>
      <w:bookmarkStart w:id="709" w:name="Tc_GfzWPHY7ekenf52WzW1gAQ_12_5"/>
      <w:bookmarkStart w:id="710" w:name="Tc_kGA1KoZf6k2eObKnF5oBOQ_12_0"/>
      <w:bookmarkStart w:id="711" w:name="Tc_37lWkeOte0ed-ApGEMlZlA_11_7"/>
      <w:bookmarkStart w:id="712" w:name="Tc_k1ogW01yVEKc0WAIq8oRPg_11_0"/>
      <w:bookmarkStart w:id="713" w:name="Tc_ZuZNYmTkUkCOTZKfa5jZZg_10_11"/>
      <w:bookmarkStart w:id="714" w:name="Tc_lhusLsimtU6yzP08l0eW_Q_10_8"/>
      <w:bookmarkStart w:id="715" w:name="Tc_iYFeVn-RIEGGLUqc_-s8zg_10_5"/>
      <w:bookmarkStart w:id="716" w:name="Tc_xXgWvwMuk02GeuaALkqdXg_10_2"/>
      <w:bookmarkStart w:id="717" w:name="Tc_6Ultb6I_IEGT8B6_P5pqSA_10_0"/>
      <w:bookmarkStart w:id="718" w:name="Tc_ikQNBH4CUkqqQnmpg-MSXQ_9_14"/>
      <w:bookmarkStart w:id="719" w:name="Tc_5mkeMeI43ECc6K23ciyE4Q_9_8"/>
      <w:bookmarkStart w:id="720" w:name="Tc_hfTxQ0JduUezRfpVlVsEMw_9_7"/>
      <w:bookmarkStart w:id="721" w:name="Tc_tXHhPxeUnUiVraWKHpaUTg_9_5"/>
      <w:bookmarkStart w:id="722" w:name="Tc_S8CtSSPTl0i9Qzqa5wybjw_9_2"/>
      <w:bookmarkStart w:id="723" w:name="Tc_MIjulzdrG06wgnYWEiBh4Q_9_0"/>
      <w:bookmarkStart w:id="724" w:name="Tc_faprt10NtU-zyl-s1HxpWg_8_14"/>
      <w:bookmarkStart w:id="725" w:name="Tc_dKUQ0j9g60-qSYOPMz0Rtg_8_11"/>
      <w:bookmarkStart w:id="726" w:name="Tc_4jIeqWsxtU-E28yvff9cnA_8_5"/>
      <w:bookmarkStart w:id="727" w:name="Tc_WS4VB3s8gEO0S1VoU7syGg_8_2"/>
      <w:bookmarkStart w:id="728" w:name="Tc_n23LoF3ckUuZYV5U9HiEqA_8_0"/>
      <w:bookmarkStart w:id="729" w:name="Tc_Qt6faAX1rEiOi2HtoYPVMg_7_14"/>
      <w:bookmarkStart w:id="730" w:name="Tc_Da4ouQez80Cf5IdvFJpPIA_7_11"/>
      <w:bookmarkStart w:id="731" w:name="Tc_8w75ueFmU06cbjzM5QYBQg_7_7"/>
      <w:bookmarkStart w:id="732" w:name="Tc_MPimxE1hAkWt9L4wnNsDcQ_7_5"/>
      <w:bookmarkStart w:id="733" w:name="Tc_P3S-Lqc9QkKSjLzisWJiHA_7_0"/>
      <w:bookmarkStart w:id="734" w:name="Tc_amWSkR41mkm7XlDS0xvB0Q_6_14"/>
      <w:bookmarkStart w:id="735" w:name="Tc__cYX65zdH0ex_rlzKvDmfg_6_11"/>
      <w:bookmarkStart w:id="736" w:name="Tc_9Tqg5NDuG0e9aUmRMt1fFQ_6_7"/>
      <w:bookmarkStart w:id="737" w:name="Tc_-owOuMxXKky1cfjYfNIiNg_6_5"/>
      <w:bookmarkStart w:id="738" w:name="Tc_iPlpC8OHQkuGcwtFHYnLpw_6_0"/>
      <w:bookmarkStart w:id="739" w:name="Tc_Lo_RaeTDLkWAYDvMeXXabg_5_16"/>
      <w:bookmarkStart w:id="740" w:name="Tc_q-CYocOpBEy2QDJjwgtshA_5_13"/>
      <w:bookmarkStart w:id="741" w:name="Tc_Eq1M5SyuRkua22qK5X3dLQ_5_10"/>
      <w:bookmarkStart w:id="742" w:name="Tc_fZUcV-_Sv06zUTs5_Y-U8Q_5_7"/>
      <w:bookmarkStart w:id="743" w:name="Tc_ksxPjeRlPEW3yf7iBR0-qQ_5_4"/>
      <w:bookmarkStart w:id="744" w:name="Tc_8PDrNLyeA0W7mhwY2pNsoA_5_0"/>
      <w:bookmarkStart w:id="745" w:name="Tc__TCTyYOSok63ts29wPks7g_3_16"/>
      <w:bookmarkStart w:id="746" w:name="Tc_qV-6CRx4KUCSP3Q24qaBDw_3_13"/>
      <w:bookmarkStart w:id="747" w:name="Tc_LX0rEpMYYEalbYSahALpeg_3_10"/>
      <w:bookmarkStart w:id="748" w:name="Tc_B5xrVp9TC0mQ4XC9QsjeHQ_3_7"/>
      <w:bookmarkStart w:id="749" w:name="Tc_ygyy8hub10WFdPihvLdIAQ_3_4"/>
      <w:bookmarkStart w:id="750" w:name="Tc_ER6a3HGMnkCNuZqGMBmkFQ_3_2"/>
      <w:bookmarkStart w:id="751" w:name="Tc_NYymzbgRtk24gPXwryO5LA_2_16"/>
      <w:bookmarkStart w:id="752" w:name="Tc_1PdY3nKPaECAdjcnsaqEyQ_2_13"/>
      <w:bookmarkStart w:id="753" w:name="Tc_0Kq2XPV8-0u6RiRENEK9Ug_2_10"/>
      <w:bookmarkStart w:id="754" w:name="Tc_HokRbf0muUKn2NT35cO7Jg_2_7"/>
      <w:bookmarkStart w:id="755" w:name="Tc_MYWsACt3s0SsuYyzwQGvNA_2_2"/>
      <w:bookmarkStart w:id="756" w:name="Tc_4trQaAzoMUuaWxv4fBvXVQ_1_16"/>
      <w:bookmarkStart w:id="757" w:name="Tc_E2xtQ4LmdkmDWdvkNz7aRA_1_10"/>
      <w:bookmarkStart w:id="758" w:name="_d61b3e0a_4508_477a_9da7_908602602a2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tbl>
      <w:tblPr>
        <w:tblW w:w="8636" w:type="dxa"/>
        <w:jc w:val="left"/>
        <w:tblInd w:w="0" w:type="dxa"/>
        <w:tblLayout w:type="fixed"/>
        <w:tblCellMar>
          <w:top w:w="0" w:type="dxa"/>
          <w:left w:w="0" w:type="dxa"/>
          <w:bottom w:w="0" w:type="dxa"/>
          <w:right w:w="0" w:type="dxa"/>
        </w:tblCellMar>
      </w:tblPr>
      <w:tblGrid>
        <w:gridCol w:w="2986"/>
        <w:gridCol w:w="346"/>
        <w:gridCol w:w="646"/>
        <w:gridCol w:w="109"/>
        <w:gridCol w:w="166"/>
        <w:gridCol w:w="346"/>
        <w:gridCol w:w="109"/>
        <w:gridCol w:w="388"/>
        <w:gridCol w:w="557"/>
        <w:gridCol w:w="109"/>
        <w:gridCol w:w="304"/>
        <w:gridCol w:w="776"/>
        <w:gridCol w:w="109"/>
        <w:gridCol w:w="179"/>
        <w:gridCol w:w="587"/>
        <w:gridCol w:w="109"/>
        <w:gridCol w:w="193"/>
        <w:gridCol w:w="617"/>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96110" cy="175260"/>
                      <wp:effectExtent l="0" t="0" r="0" b="0"/>
                      <wp:wrapNone/>
                      <wp:docPr id="45" name="Frame4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0210" cy="175260"/>
                      <wp:effectExtent l="0" t="0" r="0" b="0"/>
                      <wp:wrapNone/>
                      <wp:docPr id="47" name="Frame4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05410" cy="175260"/>
                      <wp:effectExtent l="0" t="0" r="0" b="0"/>
                      <wp:wrapNone/>
                      <wp:docPr id="49" name="Frame4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46380" cy="175260"/>
                      <wp:effectExtent l="0" t="0" r="0" b="0"/>
                      <wp:wrapNone/>
                      <wp:docPr id="52" name="Frame52"/>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53695" cy="175260"/>
                      <wp:effectExtent l="0" t="0" r="0" b="0"/>
                      <wp:wrapNone/>
                      <wp:docPr id="53" name="Frame53"/>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3040" cy="175260"/>
                      <wp:effectExtent l="0" t="0" r="0" b="0"/>
                      <wp:wrapNone/>
                      <wp:docPr id="55" name="Frame5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2760" cy="175260"/>
                      <wp:effectExtent l="0" t="0" r="0" b="0"/>
                      <wp:wrapNone/>
                      <wp:docPr id="56" name="Frame56"/>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13665" cy="175260"/>
                      <wp:effectExtent l="0" t="0" r="0" b="0"/>
                      <wp:wrapNone/>
                      <wp:docPr id="58" name="Frame58"/>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72745" cy="175260"/>
                      <wp:effectExtent l="0" t="0" r="0" b="0"/>
                      <wp:wrapNone/>
                      <wp:docPr id="59" name="Frame59"/>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2555" cy="175260"/>
                      <wp:effectExtent l="0" t="0" r="0" b="0"/>
                      <wp:wrapNone/>
                      <wp:docPr id="61" name="Frame61"/>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91795" cy="175260"/>
                      <wp:effectExtent l="0" t="0" r="0" b="0"/>
                      <wp:wrapNone/>
                      <wp:docPr id="62" name="Frame62"/>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80"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Accumulated Other</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Total</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Ordinary</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Capital in Excess</w:t>
            </w:r>
          </w:p>
        </w:tc>
        <w:tc>
          <w:tcPr>
            <w:tcW w:w="109" w:type="dxa"/>
            <w:tcBorders/>
            <w:vAlign w:val="center"/>
          </w:tcPr>
          <w:p>
            <w:pPr>
              <w:pStyle w:val="TableContents"/>
              <w:bidi w:val="0"/>
              <w:spacing w:before="0" w:after="1"/>
              <w:ind w:left="0" w:right="0" w:hanging="0"/>
              <w:jc w:val="left"/>
              <w:rPr/>
            </w:pPr>
            <w:r>
              <w:rPr/>
              <w:t>​</w:t>
            </w:r>
          </w:p>
        </w:tc>
        <w:tc>
          <w:tcPr>
            <w:tcW w:w="1080"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Accumulated</w:t>
            </w:r>
          </w:p>
        </w:tc>
        <w:tc>
          <w:tcPr>
            <w:tcW w:w="109" w:type="dxa"/>
            <w:tcBorders/>
            <w:vAlign w:val="center"/>
          </w:tcPr>
          <w:p>
            <w:pPr>
              <w:pStyle w:val="TableContents"/>
              <w:bidi w:val="0"/>
              <w:spacing w:before="0" w:after="1"/>
              <w:ind w:left="0" w:right="0" w:hanging="0"/>
              <w:jc w:val="center"/>
              <w:rPr/>
            </w:pPr>
            <w:r>
              <w:rPr/>
              <w:t>​</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Shareholders'</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Shares</w:t>
            </w:r>
          </w:p>
        </w:tc>
        <w:tc>
          <w:tcPr>
            <w:tcW w:w="109" w:type="dxa"/>
            <w:tcBorders/>
            <w:vAlign w:val="center"/>
          </w:tcPr>
          <w:p>
            <w:pPr>
              <w:pStyle w:val="TableContents"/>
              <w:bidi w:val="0"/>
              <w:spacing w:before="0" w:after="1"/>
              <w:ind w:left="0" w:right="0" w:hanging="0"/>
              <w:jc w:val="left"/>
              <w:rPr/>
            </w:pPr>
            <w:r>
              <w:rPr/>
              <w:t>​</w:t>
            </w:r>
          </w:p>
        </w:tc>
        <w:tc>
          <w:tcPr>
            <w:tcW w:w="5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Amount</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of Par Value</w:t>
            </w:r>
          </w:p>
        </w:tc>
        <w:tc>
          <w:tcPr>
            <w:tcW w:w="109" w:type="dxa"/>
            <w:tcBorders/>
            <w:vAlign w:val="center"/>
          </w:tcPr>
          <w:p>
            <w:pPr>
              <w:pStyle w:val="TableContents"/>
              <w:bidi w:val="0"/>
              <w:spacing w:before="0" w:after="1"/>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Loss</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Deficit</w:t>
            </w:r>
          </w:p>
        </w:tc>
        <w:tc>
          <w:tcPr>
            <w:tcW w:w="109" w:type="dxa"/>
            <w:tcBorders/>
            <w:vAlign w:val="center"/>
          </w:tcPr>
          <w:p>
            <w:pPr>
              <w:pStyle w:val="TableContents"/>
              <w:bidi w:val="0"/>
              <w:spacing w:before="0"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Equity</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3"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center"/>
              <w:rPr/>
            </w:pPr>
            <w:r>
              <w:rPr/>
              <w:t>​</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Balance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78,397,380</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773,565</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(3,719)</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(702,022)</w:t>
            </w:r>
          </w:p>
        </w:tc>
        <w:tc>
          <w:tcPr>
            <w:tcW w:w="109" w:type="dxa"/>
            <w:tcBorders/>
            <w:shd w:fill="CCEEFF" w:val="clear"/>
            <w:vAlign w:val="center"/>
          </w:tcPr>
          <w:p>
            <w:pPr>
              <w:pStyle w:val="TableContents"/>
              <w:bidi w:val="0"/>
              <w:spacing w:before="0" w:after="1"/>
              <w:ind w:left="0" w:right="0" w:hanging="0"/>
              <w:jc w:val="left"/>
              <w:rPr/>
            </w:pPr>
            <w:r>
              <w:rPr/>
              <w:t>​</w:t>
            </w:r>
          </w:p>
        </w:tc>
        <w:tc>
          <w:tcPr>
            <w:tcW w:w="193"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67,827</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activity</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457,679</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righ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2,130</w:t>
            </w:r>
          </w:p>
        </w:tc>
        <w:tc>
          <w:tcPr>
            <w:tcW w:w="109" w:type="dxa"/>
            <w:tcBorders/>
            <w:vAlign w:val="center"/>
          </w:tcPr>
          <w:p>
            <w:pPr>
              <w:pStyle w:val="TableContents"/>
              <w:bidi w:val="0"/>
              <w:spacing w:before="0" w:after="1"/>
              <w:ind w:left="0" w:right="0" w:hanging="0"/>
              <w:jc w:val="right"/>
              <w:rPr/>
            </w:pPr>
            <w:r>
              <w:rPr/>
              <w:t>​</w:t>
            </w:r>
          </w:p>
        </w:tc>
        <w:tc>
          <w:tcPr>
            <w:tcW w:w="304" w:type="dxa"/>
            <w:tcBorders/>
            <w:vAlign w:val="center"/>
          </w:tcPr>
          <w:p>
            <w:pPr>
              <w:pStyle w:val="TableContents"/>
              <w:bidi w:val="0"/>
              <w:spacing w:before="0" w:after="1"/>
              <w:ind w:left="0" w:right="0" w:hanging="0"/>
              <w:jc w:val="right"/>
              <w:rPr/>
            </w:pPr>
            <w:r>
              <w:rPr/>
              <w:t>​</w:t>
            </w:r>
          </w:p>
        </w:tc>
        <w:tc>
          <w:tcPr>
            <w:tcW w:w="7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2,130</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in at-the-market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563,379</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righ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4,482</w:t>
            </w:r>
          </w:p>
        </w:tc>
        <w:tc>
          <w:tcPr>
            <w:tcW w:w="109" w:type="dxa"/>
            <w:tcBorders/>
            <w:shd w:fill="CCEEFF" w:val="clear"/>
            <w:vAlign w:val="center"/>
          </w:tcPr>
          <w:p>
            <w:pPr>
              <w:pStyle w:val="TableContents"/>
              <w:bidi w:val="0"/>
              <w:spacing w:before="0" w:after="1"/>
              <w:ind w:left="0" w:right="0" w:hanging="0"/>
              <w:jc w:val="right"/>
              <w:rPr/>
            </w:pPr>
            <w:r>
              <w:rPr/>
              <w:t>​</w:t>
            </w:r>
          </w:p>
        </w:tc>
        <w:tc>
          <w:tcPr>
            <w:tcW w:w="304" w:type="dxa"/>
            <w:tcBorders/>
            <w:shd w:fill="CCEEFF" w:val="clear"/>
            <w:vAlign w:val="center"/>
          </w:tcPr>
          <w:p>
            <w:pPr>
              <w:pStyle w:val="TableContents"/>
              <w:bidi w:val="0"/>
              <w:spacing w:before="0" w:after="1"/>
              <w:ind w:left="0" w:right="0" w:hanging="0"/>
              <w:jc w:val="right"/>
              <w:rPr/>
            </w:pPr>
            <w:r>
              <w:rPr/>
              <w:t>​</w:t>
            </w:r>
          </w:p>
        </w:tc>
        <w:tc>
          <w:tcPr>
            <w:tcW w:w="7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4,482</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costs in connection with ordinary shares</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right"/>
              <w:rPr/>
            </w:pPr>
            <w:r>
              <w:rPr/>
              <w:t> </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w:t>
            </w:r>
          </w:p>
        </w:tc>
        <w:tc>
          <w:tcPr>
            <w:tcW w:w="109"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Other comprehensive loss</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right"/>
              <w:rPr/>
            </w:pPr>
            <w:r>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(1,347)</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shd w:fill="CCEEFF" w:val="clear"/>
            <w:vAlign w:val="center"/>
          </w:tcPr>
          <w:p>
            <w:pPr>
              <w:pStyle w:val="TableContents"/>
              <w:bidi w:val="0"/>
              <w:spacing w:before="0" w:after="1"/>
              <w:ind w:left="0" w:right="0" w:hanging="0"/>
              <w:jc w:val="left"/>
              <w:rPr/>
            </w:pPr>
            <w:r>
              <w:rPr/>
              <w:t> </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 </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(1,347)</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 for the three-month period ended March 31, 2025</w:t>
            </w:r>
          </w:p>
        </w:tc>
        <w:tc>
          <w:tcPr>
            <w:tcW w:w="346" w:type="dxa"/>
            <w:tcBorders/>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7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(39,981)</w:t>
            </w:r>
          </w:p>
        </w:tc>
        <w:tc>
          <w:tcPr>
            <w:tcW w:w="109" w:type="dxa"/>
            <w:tcBorders/>
            <w:vAlign w:val="center"/>
          </w:tcPr>
          <w:p>
            <w:pPr>
              <w:pStyle w:val="TableContents"/>
              <w:bidi w:val="0"/>
              <w:spacing w:before="0" w:after="1"/>
              <w:ind w:left="0" w:right="0" w:hanging="0"/>
              <w:jc w:val="right"/>
              <w:rPr/>
            </w:pPr>
            <w:r>
              <w:rPr/>
              <w:t>​</w:t>
            </w:r>
          </w:p>
        </w:tc>
        <w:tc>
          <w:tcPr>
            <w:tcW w:w="193"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(39,981)</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Balance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79,418,438</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righ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780,165</w:t>
            </w:r>
          </w:p>
        </w:tc>
        <w:tc>
          <w:tcPr>
            <w:tcW w:w="109" w:type="dxa"/>
            <w:tcBorders/>
            <w:shd w:fill="CCEEFF" w:val="clear"/>
            <w:vAlign w:val="center"/>
          </w:tcPr>
          <w:p>
            <w:pPr>
              <w:pStyle w:val="TableContents"/>
              <w:bidi w:val="0"/>
              <w:spacing w:before="0" w:after="1"/>
              <w:ind w:left="0" w:right="0" w:hanging="0"/>
              <w:jc w:val="right"/>
              <w:rPr/>
            </w:pPr>
            <w:r>
              <w:rPr/>
              <w:t>​</w:t>
            </w:r>
          </w:p>
        </w:tc>
        <w:tc>
          <w:tcPr>
            <w:tcW w:w="304" w:type="dxa"/>
            <w:tcBorders/>
            <w:shd w:fill="CCEEFF" w:val="clear"/>
            <w:vAlign w:val="center"/>
          </w:tcPr>
          <w:p>
            <w:pPr>
              <w:pStyle w:val="TableContents"/>
              <w:bidi w:val="0"/>
              <w:spacing w:before="0" w:after="1"/>
              <w:ind w:left="0" w:right="0" w:hanging="0"/>
              <w:jc w:val="righ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(5,066)</w:t>
            </w:r>
          </w:p>
        </w:tc>
        <w:tc>
          <w:tcPr>
            <w:tcW w:w="109" w:type="dxa"/>
            <w:tcBorders/>
            <w:shd w:fill="CCEEFF" w:val="clear"/>
            <w:vAlign w:val="center"/>
          </w:tcPr>
          <w:p>
            <w:pPr>
              <w:pStyle w:val="TableContents"/>
              <w:bidi w:val="0"/>
              <w:spacing w:before="0" w:after="1"/>
              <w:ind w:left="0" w:right="0" w:hanging="0"/>
              <w:jc w:val="right"/>
              <w:rPr/>
            </w:pPr>
            <w:r>
              <w:rPr/>
              <w:t>​</w:t>
            </w:r>
          </w:p>
        </w:tc>
        <w:tc>
          <w:tcPr>
            <w:tcW w:w="179"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(742,003)</w:t>
            </w:r>
          </w:p>
        </w:tc>
        <w:tc>
          <w:tcPr>
            <w:tcW w:w="109"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right"/>
              <w:rPr/>
            </w:pPr>
            <w:r>
              <w:rPr/>
              <w:t>​</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33,099</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activity</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80,925</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righ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5,696</w:t>
            </w:r>
          </w:p>
        </w:tc>
        <w:tc>
          <w:tcPr>
            <w:tcW w:w="109"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5,696</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in at-the-market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946,921</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righ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5,433</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shd w:fill="CCEEFF" w:val="clear"/>
            <w:vAlign w:val="center"/>
          </w:tcPr>
          <w:p>
            <w:pPr>
              <w:pStyle w:val="TableContents"/>
              <w:bidi w:val="0"/>
              <w:spacing w:before="0" w:after="1"/>
              <w:ind w:left="0" w:right="0" w:hanging="0"/>
              <w:jc w:val="lef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5,433</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costs in connection with ordinary shares</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righ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w:t>
            </w:r>
          </w:p>
        </w:tc>
        <w:tc>
          <w:tcPr>
            <w:tcW w:w="109"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vAlign w:val="center"/>
          </w:tcPr>
          <w:p>
            <w:pPr>
              <w:pStyle w:val="TableContents"/>
              <w:bidi w:val="0"/>
              <w:spacing w:before="0" w:after="1"/>
              <w:ind w:left="0" w:right="0" w:hanging="0"/>
              <w:jc w:val="left"/>
              <w:rPr/>
            </w:pPr>
            <w:r>
              <w:rPr/>
              <w:t>​</w:t>
            </w:r>
          </w:p>
        </w:tc>
        <w:tc>
          <w:tcPr>
            <w:tcW w:w="5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right"/>
              <w:rPr/>
            </w:pPr>
            <w:r>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(2,459)</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shd w:fill="CCEEFF" w:val="clear"/>
            <w:vAlign w:val="center"/>
          </w:tcPr>
          <w:p>
            <w:pPr>
              <w:pStyle w:val="TableContents"/>
              <w:bidi w:val="0"/>
              <w:spacing w:before="0" w:after="1"/>
              <w:ind w:left="0" w:right="0" w:hanging="0"/>
              <w:jc w:val="left"/>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(2,459)</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 for the three-month period ended June 30, 2025</w:t>
            </w:r>
          </w:p>
        </w:tc>
        <w:tc>
          <w:tcPr>
            <w:tcW w:w="346" w:type="dxa"/>
            <w:tcBorders/>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(38,795)</w:t>
            </w:r>
          </w:p>
        </w:tc>
        <w:tc>
          <w:tcPr>
            <w:tcW w:w="109" w:type="dxa"/>
            <w:tcBorders/>
            <w:vAlign w:val="center"/>
          </w:tcPr>
          <w:p>
            <w:pPr>
              <w:pStyle w:val="TableContents"/>
              <w:bidi w:val="0"/>
              <w:spacing w:before="0" w:after="1"/>
              <w:ind w:left="0" w:right="0" w:hanging="0"/>
              <w:jc w:val="right"/>
              <w:rPr/>
            </w:pPr>
            <w:r>
              <w:rPr/>
              <w:t>​</w:t>
            </w:r>
          </w:p>
        </w:tc>
        <w:tc>
          <w:tcPr>
            <w:tcW w:w="1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(38,795)</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Balance at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80,446,284</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791,280</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(7,525)</w:t>
            </w:r>
          </w:p>
        </w:tc>
        <w:tc>
          <w:tcPr>
            <w:tcW w:w="109" w:type="dxa"/>
            <w:tcBorders/>
            <w:shd w:fill="CCEEFF" w:val="clear"/>
            <w:vAlign w:val="center"/>
          </w:tcPr>
          <w:p>
            <w:pPr>
              <w:pStyle w:val="TableContents"/>
              <w:bidi w:val="0"/>
              <w:spacing w:before="0" w:after="1"/>
              <w:ind w:left="0" w:right="0" w:hanging="0"/>
              <w:jc w:val="left"/>
              <w:rPr/>
            </w:pPr>
            <w:r>
              <w:rPr/>
              <w:t>​</w:t>
            </w:r>
          </w:p>
        </w:tc>
        <w:tc>
          <w:tcPr>
            <w:tcW w:w="1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(780,798)</w:t>
            </w:r>
          </w:p>
        </w:tc>
        <w:tc>
          <w:tcPr>
            <w:tcW w:w="109" w:type="dxa"/>
            <w:tcBorders/>
            <w:shd w:fill="CCEEFF" w:val="clear"/>
            <w:vAlign w:val="center"/>
          </w:tcPr>
          <w:p>
            <w:pPr>
              <w:pStyle w:val="TableContents"/>
              <w:bidi w:val="0"/>
              <w:spacing w:before="0" w:after="1"/>
              <w:ind w:left="0" w:right="0" w:hanging="0"/>
              <w:jc w:val="right"/>
              <w:rPr/>
            </w:pPr>
            <w:r>
              <w:rPr/>
              <w:t>​</w:t>
            </w:r>
          </w:p>
        </w:tc>
        <w:tc>
          <w:tcPr>
            <w:tcW w:w="1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bottom w:val="double" w:sz="6" w:space="0" w:color="000000"/>
            </w:tcBorders>
            <w:shd w:fill="CCEEFF" w:val="clear"/>
            <w:tcMar>
              <w:bottom w:w="28" w:type="dxa"/>
            </w:tcMar>
            <w:vAlign w:val="center"/>
          </w:tcPr>
          <w:p>
            <w:pPr>
              <w:pStyle w:val="TableContents"/>
              <w:bidi w:val="0"/>
              <w:spacing w:before="0" w:after="1"/>
              <w:ind w:left="0" w:right="36" w:hanging="0"/>
              <w:jc w:val="right"/>
              <w:rPr>
                <w:rFonts w:ascii="Times New Roman;Times;serif" w:hAnsi="Times New Roman;Times;serif"/>
                <w:sz w:val="12"/>
              </w:rPr>
            </w:pPr>
            <w:r>
              <w:rPr>
                <w:rFonts w:ascii="Times New Roman;Times;serif" w:hAnsi="Times New Roman;Times;serif"/>
                <w:sz w:val="12"/>
              </w:rPr>
              <w:t>2,960</w:t>
            </w:r>
          </w:p>
        </w:tc>
      </w:tr>
    </w:tbl>
    <w:p>
      <w:pPr>
        <w:pStyle w:val="TextBody"/>
        <w:bidi w:val="0"/>
        <w:spacing w:before="0" w:after="240"/>
        <w:ind w:left="0" w:right="0" w:firstLine="72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9" w:name="_fe900184_4267_46c4_92a3_2f6636d7f066"/>
      <w:bookmarkEnd w:id="759"/>
      <w:r>
        <w:rPr>
          <w:rFonts w:ascii="Times New Roman;Times;serif" w:hAnsi="Times New Roman;Times;serif"/>
          <w:b/>
          <w:sz w:val="20"/>
        </w:rPr>
        <w:t>MEIRAGTX HOLDINGS PLC AND SUBSIDIARIES</w:t>
      </w:r>
    </w:p>
    <w:p>
      <w:pPr>
        <w:pStyle w:val="TextBody"/>
        <w:bidi w:val="0"/>
        <w:spacing w:before="0" w:after="0"/>
        <w:ind w:left="0" w:right="0" w:hanging="0"/>
        <w:jc w:val="center"/>
        <w:rPr>
          <w:rFonts w:ascii="Times New Roman;Times;serif" w:hAnsi="Times New Roman;Times;serif"/>
          <w:b/>
          <w:sz w:val="20"/>
        </w:rPr>
      </w:pPr>
      <w:bookmarkStart w:id="760" w:name="STATEMENTSOFCASHFLOWS_138361"/>
      <w:bookmarkEnd w:id="760"/>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761" w:name="Tc_GuUz2rFZ7UCC-cZ6G_CXdw_67_5"/>
      <w:bookmarkStart w:id="762" w:name="Tc_7q-JVnIiyEGn-v50m-TVAQ_67_2"/>
      <w:bookmarkStart w:id="763" w:name="Tc_JL67o2Ag_k-MuNvO2dW86A_67_0"/>
      <w:bookmarkStart w:id="764" w:name="Tc_XM_I8MeFRUq8SGmTC7NuEw_66_0"/>
      <w:bookmarkStart w:id="765" w:name="Tc_BRKK6aaP2kCwblGzzbcdGw_65_6"/>
      <w:bookmarkStart w:id="766" w:name="Tc_MSUCXwaSOE2P8FiEYgSTSA_65_5"/>
      <w:bookmarkStart w:id="767" w:name="Tc_f7yx3thVtE2a0x5KCw6zqQ_65_2"/>
      <w:bookmarkStart w:id="768" w:name="Tc_nO5A6d8htkOFbASVLWMkMw_65_0"/>
      <w:bookmarkStart w:id="769" w:name="Tc_TCKgT7NSIk2NXRkOGmoayg_64_5"/>
      <w:bookmarkStart w:id="770" w:name="Tc__4KgTSJdUUSygvmTMVigQA_64_2"/>
      <w:bookmarkStart w:id="771" w:name="Tc_eWM23LiojUyGlstQHs7upQ_64_0"/>
      <w:bookmarkStart w:id="772" w:name="Tc_A9Zl4gKGW0mDLi3rrKa1Ow_63_6"/>
      <w:bookmarkStart w:id="773" w:name="Tc_i5WYa_WqcUCEEKqDSuc66A_63_5"/>
      <w:bookmarkStart w:id="774" w:name="Tc_AgfJe3dvfESDz0o5kEdLeQ_63_2"/>
      <w:bookmarkStart w:id="775" w:name="Tc_d0USMXN5LUuj_d_gawydSQ_63_0"/>
      <w:bookmarkStart w:id="776" w:name="Tc_AaY3shKg40qoS3v8pOGGvA_62_6"/>
      <w:bookmarkStart w:id="777" w:name="Tc_7ntOfKSZZUGsHZWNf7o0iQ_62_5"/>
      <w:bookmarkStart w:id="778" w:name="Tc_UXr_usgyZ0-DjIpgefybBA_62_2"/>
      <w:bookmarkStart w:id="779" w:name="Tc_O7HKN1aJD0isNtRBih-VRg_62_0"/>
      <w:bookmarkStart w:id="780" w:name="Tc_zabVGY1ch0WtbHCmnlnW4Q_61_0"/>
      <w:bookmarkStart w:id="781" w:name="Tc_tmRohSGABkuiPXD5iaJxBg_59_5"/>
      <w:bookmarkStart w:id="782" w:name="Tc_eSHwo875XUCYEEfshxOnNQ_59_2"/>
      <w:bookmarkStart w:id="783" w:name="Tc_K0iyDKLsvkmFAalURgfKFA_59_0"/>
      <w:bookmarkStart w:id="784" w:name="Tc_FaoW_Txp806eYMMi0bWxwA_58_0"/>
      <w:bookmarkStart w:id="785" w:name="Tc_dmIucIedR065NLSdAa6o1g_57_0"/>
      <w:bookmarkStart w:id="786" w:name="Tc_5DRB0u2fKUeieYVF4lM03g_56_0"/>
      <w:bookmarkStart w:id="787" w:name="Tc_0snXIGIlAkG3PFBNBPCI9g_54_0"/>
      <w:bookmarkStart w:id="788" w:name="Tc_9Va7O0p--06GQUgREkb5mQ_53_6"/>
      <w:bookmarkStart w:id="789" w:name="Tc_hL1mxhWW0EO386Sffnhrjg_53_0"/>
      <w:bookmarkStart w:id="790" w:name="Tc_W_B1lM0fk0y1YW69xZ5jAA_52_6"/>
      <w:bookmarkStart w:id="791" w:name="Tc_Ngo-ldAhXEymXyp1V_gEog_52_0"/>
      <w:bookmarkStart w:id="792" w:name="Tc_UZpUs61gLk6QTAC9Ragm1Q_51_6"/>
      <w:bookmarkStart w:id="793" w:name="Tc__XqYFWbhAk6i1YgS64VBKw_51_0"/>
      <w:bookmarkStart w:id="794" w:name="Tc_uUFpQmibDE-0UMAOu5_KFw_50_6"/>
      <w:bookmarkStart w:id="795" w:name="Tc_LRifjfgWP0ufS4zcKO_gPw_50_0"/>
      <w:bookmarkStart w:id="796" w:name="Tc_X8kVFstmH0m9KKsSf0W9Ng_49_0"/>
      <w:bookmarkStart w:id="797" w:name="Tc_gLNtoEyIDkmsmoL8-JAY7A_48_0"/>
      <w:bookmarkStart w:id="798" w:name="Tc_e3qQ79Jn40GsypclduDGVg_47_6"/>
      <w:bookmarkStart w:id="799" w:name="Tc_Ni1KbSxwukWDQwB4u86b_Q_47_0"/>
      <w:bookmarkStart w:id="800" w:name="Tc_EL_JN3z9p0OqGtpmzY6t8Q_46_0"/>
      <w:bookmarkStart w:id="801" w:name="Tc_dNNNGNNLl0SlB5Dn-TqfiQ_45_0"/>
      <w:bookmarkStart w:id="802" w:name="Tc_3vh9IL95G0CBVRqJycSqbA_44_0"/>
      <w:bookmarkStart w:id="803" w:name="Tc_Ws9FS74iWEqg05zBKPi8Wg_42_0"/>
      <w:bookmarkStart w:id="804" w:name="Tc_jPrkRqc_okGsYm4wqhcGcg_41_3"/>
      <w:bookmarkStart w:id="805" w:name="Tc_Eu6xPfl0bkysEZN8EutRAg_41_0"/>
      <w:bookmarkStart w:id="806" w:name="Tc_tC7lKRriKU6B_W7Lnzux4Q_40_6"/>
      <w:bookmarkStart w:id="807" w:name="Tc_-pZcWBWUMkONB35j_cum7Q_40_0"/>
      <w:bookmarkStart w:id="808" w:name="Tc_094gQLzJdEm2EbPjGYHNLw_39_6"/>
      <w:bookmarkStart w:id="809" w:name="Tc_UqNiMabPzE6EJOaJQXmwKg_39_0"/>
      <w:bookmarkStart w:id="810" w:name="Tc_-AUqmKPPfEKbpOewx___pg_38_0"/>
      <w:bookmarkStart w:id="811" w:name="Tc_WJv1fsia4U-T3JgMWGWeJw_37_0"/>
      <w:bookmarkStart w:id="812" w:name="Tc_Trq-5fpj-kSj31K0urUrdw_35_0"/>
      <w:bookmarkStart w:id="813" w:name="Tc_QhgsH5yhuUyxxhyodxfR1g_34_0"/>
      <w:bookmarkStart w:id="814" w:name="Tc_RDG62-A3FUCMIsMASG_AVg_33_6"/>
      <w:bookmarkStart w:id="815" w:name="Tc_V3QsCL6KJ0iW1UoZqQIqOg_33_0"/>
      <w:bookmarkStart w:id="816" w:name="Tc_gzx4sPddWkeUUa0szM6W0g_32_0"/>
      <w:bookmarkStart w:id="817" w:name="Tc_1uFbCmrqpUGsdWIr8yWXtA_31_6"/>
      <w:bookmarkStart w:id="818" w:name="Tc_B6GYpCa6OkuXV_V78f0EkQ_31_0"/>
      <w:bookmarkStart w:id="819" w:name="Tc_xfNhLPm-P0aZPYkF3515-g_30_0"/>
      <w:bookmarkStart w:id="820" w:name="Tc_a0WNTIbGx0aK9jlbxO8ZJQ_29_0"/>
      <w:bookmarkStart w:id="821" w:name="Tc_6oERzz65k0WDBta3BmtrEw_28_0"/>
      <w:bookmarkStart w:id="822" w:name="Tc_1lzOWdoCiky0-_9DzQtQCQ_27_0"/>
      <w:bookmarkStart w:id="823" w:name="Tc_vKAYpyIkIU6El3QEgvQmRA_26_6"/>
      <w:bookmarkStart w:id="824" w:name="Tc_EeizmQ1t0EGZf_wf9stbDQ_26_0"/>
      <w:bookmarkStart w:id="825" w:name="Tc_MDog0BslqkO6Ivxj2eHRKQ_25_0"/>
      <w:bookmarkStart w:id="826" w:name="Tc_qVHxD9VQTkCsqwpEHJLwxw_24_0"/>
      <w:bookmarkStart w:id="827" w:name="Tc_HCwpXS7O4ku5PYAMlLO_fg_23_0"/>
      <w:bookmarkStart w:id="828" w:name="Tc_6Hoh3l7FoUO82gRC4X0FNA_22_3"/>
      <w:bookmarkStart w:id="829" w:name="Tc_C-Xs0AHSrUGwPgUONCmcVQ_22_0"/>
      <w:bookmarkStart w:id="830" w:name="Tc_XhzaCC3jMUuNceUYID0QHw_21_6"/>
      <w:bookmarkStart w:id="831" w:name="Tc_C70hMZ4W6kWxOPJnOhKmHA_21_0"/>
      <w:bookmarkStart w:id="832" w:name="Tc_qLyiHsUm_0OBMTxiwyZmAg_20_0"/>
      <w:bookmarkStart w:id="833" w:name="Tc_MhiRfhI94kmt7wrvSWGwnw_19_6"/>
      <w:bookmarkStart w:id="834" w:name="Tc_Fns1KSnU_kWkXGImepK9pQ_19_0"/>
      <w:bookmarkStart w:id="835" w:name="Tc_8Pgc7qtg106qUbpZnPlcoA_18_0"/>
      <w:bookmarkStart w:id="836" w:name="Tc_KOJwvd6Oe0SWEU1AHsbwPw_17_6"/>
      <w:bookmarkStart w:id="837" w:name="Tc_l457_XXZCE-OoR9WtuVNiw_17_0"/>
      <w:bookmarkStart w:id="838" w:name="Tc_oW5qLi2G70SXRti88wpu6A_16_6"/>
      <w:bookmarkStart w:id="839" w:name="Tc_lQGpbVMRZU-Usd9_bvZZRQ_16_0"/>
      <w:bookmarkStart w:id="840" w:name="Tc_FJgoV4FGU0GlSPjdrZ5fkw_15_6"/>
      <w:bookmarkStart w:id="841" w:name="Tc_jLdwg32dREGpwws8r4gQaw_15_0"/>
      <w:bookmarkStart w:id="842" w:name="Tc_XjygUdcUPkake7OHvIdDoQ_14_0"/>
      <w:bookmarkStart w:id="843" w:name="Tc_GAwVQYVoCESkU8APxnDY4g_13_0"/>
      <w:bookmarkStart w:id="844" w:name="Tc_CfVa5ysK3UCS8Urk29iQDA_12_6"/>
      <w:bookmarkStart w:id="845" w:name="Tc_YXgcxtWDxECafA-_Bzv4_w_12_0"/>
      <w:bookmarkStart w:id="846" w:name="Tc_koo4A4IuiUaQylSw6u5qCQ_11_0"/>
      <w:bookmarkStart w:id="847" w:name="Tc_EMRFQv2ctU6X9mbPoeLeQA_10_3"/>
      <w:bookmarkStart w:id="848" w:name="Tc_3vTLYG5ptE67RDmnHt7FHw_10_0"/>
      <w:bookmarkStart w:id="849" w:name="Tc_yA0_mntBTkCIzQV3XXFZ1Q_9_0"/>
      <w:bookmarkStart w:id="850" w:name="Tc_noiaJvIUcEmRh9O_kc-T9Q_8_0"/>
      <w:bookmarkStart w:id="851" w:name="Tc_O5lAm6iaOEee-_ScASdysA_7_0"/>
      <w:bookmarkStart w:id="852" w:name="Tc_KBkSa0KkmE2UZBLDD0-o9Q_6_0"/>
      <w:bookmarkStart w:id="853" w:name="Tc_61xgKPvKuEKXL2il8tHNUw_5_0"/>
      <w:bookmarkStart w:id="854" w:name="Tc_D5jrBfSrBkKq_RO0as4JSw_4_5"/>
      <w:bookmarkStart w:id="855" w:name="Tc_4l0G9MmjI0WPgSYSkE1Sqg_4_2"/>
      <w:bookmarkStart w:id="856" w:name="Tc_3wzb_nr2okeFUHW99rEYkA_4_0"/>
      <w:bookmarkStart w:id="857" w:name="Tc_x6KVw5Vw0kKwIHxNGpXW_Q_3_0"/>
      <w:bookmarkStart w:id="858" w:name="Tc_f9Q9iRHQLUacG5l-ur4yKQ_2_5"/>
      <w:bookmarkStart w:id="859" w:name="Tc_ZaW9Y0r6mkK_IvaE5dyYaQ_2_2"/>
      <w:bookmarkStart w:id="860" w:name="Tc_5pYuApOsvk6rl9RE62h3YQ_1_2"/>
      <w:bookmarkStart w:id="861" w:name="_2c280045_a05e_4931_a66b_c8202eb2570b"/>
      <w:bookmarkStart w:id="862" w:name="Tc_GuUz2rFZ7UCC-cZ6G_CXdw_67_5"/>
      <w:bookmarkStart w:id="863" w:name="Tc_7q-JVnIiyEGn-v50m-TVAQ_67_2"/>
      <w:bookmarkStart w:id="864" w:name="Tc_JL67o2Ag_k-MuNvO2dW86A_67_0"/>
      <w:bookmarkStart w:id="865" w:name="Tc_XM_I8MeFRUq8SGmTC7NuEw_66_0"/>
      <w:bookmarkStart w:id="866" w:name="Tc_BRKK6aaP2kCwblGzzbcdGw_65_6"/>
      <w:bookmarkStart w:id="867" w:name="Tc_MSUCXwaSOE2P8FiEYgSTSA_65_5"/>
      <w:bookmarkStart w:id="868" w:name="Tc_f7yx3thVtE2a0x5KCw6zqQ_65_2"/>
      <w:bookmarkStart w:id="869" w:name="Tc_nO5A6d8htkOFbASVLWMkMw_65_0"/>
      <w:bookmarkStart w:id="870" w:name="Tc_TCKgT7NSIk2NXRkOGmoayg_64_5"/>
      <w:bookmarkStart w:id="871" w:name="Tc__4KgTSJdUUSygvmTMVigQA_64_2"/>
      <w:bookmarkStart w:id="872" w:name="Tc_eWM23LiojUyGlstQHs7upQ_64_0"/>
      <w:bookmarkStart w:id="873" w:name="Tc_A9Zl4gKGW0mDLi3rrKa1Ow_63_6"/>
      <w:bookmarkStart w:id="874" w:name="Tc_i5WYa_WqcUCEEKqDSuc66A_63_5"/>
      <w:bookmarkStart w:id="875" w:name="Tc_AgfJe3dvfESDz0o5kEdLeQ_63_2"/>
      <w:bookmarkStart w:id="876" w:name="Tc_d0USMXN5LUuj_d_gawydSQ_63_0"/>
      <w:bookmarkStart w:id="877" w:name="Tc_AaY3shKg40qoS3v8pOGGvA_62_6"/>
      <w:bookmarkStart w:id="878" w:name="Tc_7ntOfKSZZUGsHZWNf7o0iQ_62_5"/>
      <w:bookmarkStart w:id="879" w:name="Tc_UXr_usgyZ0-DjIpgefybBA_62_2"/>
      <w:bookmarkStart w:id="880" w:name="Tc_O7HKN1aJD0isNtRBih-VRg_62_0"/>
      <w:bookmarkStart w:id="881" w:name="Tc_zabVGY1ch0WtbHCmnlnW4Q_61_0"/>
      <w:bookmarkStart w:id="882" w:name="Tc_tmRohSGABkuiPXD5iaJxBg_59_5"/>
      <w:bookmarkStart w:id="883" w:name="Tc_eSHwo875XUCYEEfshxOnNQ_59_2"/>
      <w:bookmarkStart w:id="884" w:name="Tc_K0iyDKLsvkmFAalURgfKFA_59_0"/>
      <w:bookmarkStart w:id="885" w:name="Tc_FaoW_Txp806eYMMi0bWxwA_58_0"/>
      <w:bookmarkStart w:id="886" w:name="Tc_dmIucIedR065NLSdAa6o1g_57_0"/>
      <w:bookmarkStart w:id="887" w:name="Tc_5DRB0u2fKUeieYVF4lM03g_56_0"/>
      <w:bookmarkStart w:id="888" w:name="Tc_0snXIGIlAkG3PFBNBPCI9g_54_0"/>
      <w:bookmarkStart w:id="889" w:name="Tc_9Va7O0p--06GQUgREkb5mQ_53_6"/>
      <w:bookmarkStart w:id="890" w:name="Tc_hL1mxhWW0EO386Sffnhrjg_53_0"/>
      <w:bookmarkStart w:id="891" w:name="Tc_W_B1lM0fk0y1YW69xZ5jAA_52_6"/>
      <w:bookmarkStart w:id="892" w:name="Tc_Ngo-ldAhXEymXyp1V_gEog_52_0"/>
      <w:bookmarkStart w:id="893" w:name="Tc_UZpUs61gLk6QTAC9Ragm1Q_51_6"/>
      <w:bookmarkStart w:id="894" w:name="Tc__XqYFWbhAk6i1YgS64VBKw_51_0"/>
      <w:bookmarkStart w:id="895" w:name="Tc_uUFpQmibDE-0UMAOu5_KFw_50_6"/>
      <w:bookmarkStart w:id="896" w:name="Tc_LRifjfgWP0ufS4zcKO_gPw_50_0"/>
      <w:bookmarkStart w:id="897" w:name="Tc_X8kVFstmH0m9KKsSf0W9Ng_49_0"/>
      <w:bookmarkStart w:id="898" w:name="Tc_gLNtoEyIDkmsmoL8-JAY7A_48_0"/>
      <w:bookmarkStart w:id="899" w:name="Tc_e3qQ79Jn40GsypclduDGVg_47_6"/>
      <w:bookmarkStart w:id="900" w:name="Tc_Ni1KbSxwukWDQwB4u86b_Q_47_0"/>
      <w:bookmarkStart w:id="901" w:name="Tc_EL_JN3z9p0OqGtpmzY6t8Q_46_0"/>
      <w:bookmarkStart w:id="902" w:name="Tc_dNNNGNNLl0SlB5Dn-TqfiQ_45_0"/>
      <w:bookmarkStart w:id="903" w:name="Tc_3vh9IL95G0CBVRqJycSqbA_44_0"/>
      <w:bookmarkStart w:id="904" w:name="Tc_Ws9FS74iWEqg05zBKPi8Wg_42_0"/>
      <w:bookmarkStart w:id="905" w:name="Tc_jPrkRqc_okGsYm4wqhcGcg_41_3"/>
      <w:bookmarkStart w:id="906" w:name="Tc_Eu6xPfl0bkysEZN8EutRAg_41_0"/>
      <w:bookmarkStart w:id="907" w:name="Tc_tC7lKRriKU6B_W7Lnzux4Q_40_6"/>
      <w:bookmarkStart w:id="908" w:name="Tc_-pZcWBWUMkONB35j_cum7Q_40_0"/>
      <w:bookmarkStart w:id="909" w:name="Tc_094gQLzJdEm2EbPjGYHNLw_39_6"/>
      <w:bookmarkStart w:id="910" w:name="Tc_UqNiMabPzE6EJOaJQXmwKg_39_0"/>
      <w:bookmarkStart w:id="911" w:name="Tc_-AUqmKPPfEKbpOewx___pg_38_0"/>
      <w:bookmarkStart w:id="912" w:name="Tc_WJv1fsia4U-T3JgMWGWeJw_37_0"/>
      <w:bookmarkStart w:id="913" w:name="Tc_Trq-5fpj-kSj31K0urUrdw_35_0"/>
      <w:bookmarkStart w:id="914" w:name="Tc_QhgsH5yhuUyxxhyodxfR1g_34_0"/>
      <w:bookmarkStart w:id="915" w:name="Tc_RDG62-A3FUCMIsMASG_AVg_33_6"/>
      <w:bookmarkStart w:id="916" w:name="Tc_V3QsCL6KJ0iW1UoZqQIqOg_33_0"/>
      <w:bookmarkStart w:id="917" w:name="Tc_gzx4sPddWkeUUa0szM6W0g_32_0"/>
      <w:bookmarkStart w:id="918" w:name="Tc_1uFbCmrqpUGsdWIr8yWXtA_31_6"/>
      <w:bookmarkStart w:id="919" w:name="Tc_B6GYpCa6OkuXV_V78f0EkQ_31_0"/>
      <w:bookmarkStart w:id="920" w:name="Tc_xfNhLPm-P0aZPYkF3515-g_30_0"/>
      <w:bookmarkStart w:id="921" w:name="Tc_a0WNTIbGx0aK9jlbxO8ZJQ_29_0"/>
      <w:bookmarkStart w:id="922" w:name="Tc_6oERzz65k0WDBta3BmtrEw_28_0"/>
      <w:bookmarkStart w:id="923" w:name="Tc_1lzOWdoCiky0-_9DzQtQCQ_27_0"/>
      <w:bookmarkStart w:id="924" w:name="Tc_vKAYpyIkIU6El3QEgvQmRA_26_6"/>
      <w:bookmarkStart w:id="925" w:name="Tc_EeizmQ1t0EGZf_wf9stbDQ_26_0"/>
      <w:bookmarkStart w:id="926" w:name="Tc_MDog0BslqkO6Ivxj2eHRKQ_25_0"/>
      <w:bookmarkStart w:id="927" w:name="Tc_qVHxD9VQTkCsqwpEHJLwxw_24_0"/>
      <w:bookmarkStart w:id="928" w:name="Tc_HCwpXS7O4ku5PYAMlLO_fg_23_0"/>
      <w:bookmarkStart w:id="929" w:name="Tc_6Hoh3l7FoUO82gRC4X0FNA_22_3"/>
      <w:bookmarkStart w:id="930" w:name="Tc_C-Xs0AHSrUGwPgUONCmcVQ_22_0"/>
      <w:bookmarkStart w:id="931" w:name="Tc_XhzaCC3jMUuNceUYID0QHw_21_6"/>
      <w:bookmarkStart w:id="932" w:name="Tc_C70hMZ4W6kWxOPJnOhKmHA_21_0"/>
      <w:bookmarkStart w:id="933" w:name="Tc_qLyiHsUm_0OBMTxiwyZmAg_20_0"/>
      <w:bookmarkStart w:id="934" w:name="Tc_MhiRfhI94kmt7wrvSWGwnw_19_6"/>
      <w:bookmarkStart w:id="935" w:name="Tc_Fns1KSnU_kWkXGImepK9pQ_19_0"/>
      <w:bookmarkStart w:id="936" w:name="Tc_8Pgc7qtg106qUbpZnPlcoA_18_0"/>
      <w:bookmarkStart w:id="937" w:name="Tc_KOJwvd6Oe0SWEU1AHsbwPw_17_6"/>
      <w:bookmarkStart w:id="938" w:name="Tc_l457_XXZCE-OoR9WtuVNiw_17_0"/>
      <w:bookmarkStart w:id="939" w:name="Tc_oW5qLi2G70SXRti88wpu6A_16_6"/>
      <w:bookmarkStart w:id="940" w:name="Tc_lQGpbVMRZU-Usd9_bvZZRQ_16_0"/>
      <w:bookmarkStart w:id="941" w:name="Tc_FJgoV4FGU0GlSPjdrZ5fkw_15_6"/>
      <w:bookmarkStart w:id="942" w:name="Tc_jLdwg32dREGpwws8r4gQaw_15_0"/>
      <w:bookmarkStart w:id="943" w:name="Tc_XjygUdcUPkake7OHvIdDoQ_14_0"/>
      <w:bookmarkStart w:id="944" w:name="Tc_GAwVQYVoCESkU8APxnDY4g_13_0"/>
      <w:bookmarkStart w:id="945" w:name="Tc_CfVa5ysK3UCS8Urk29iQDA_12_6"/>
      <w:bookmarkStart w:id="946" w:name="Tc_YXgcxtWDxECafA-_Bzv4_w_12_0"/>
      <w:bookmarkStart w:id="947" w:name="Tc_koo4A4IuiUaQylSw6u5qCQ_11_0"/>
      <w:bookmarkStart w:id="948" w:name="Tc_EMRFQv2ctU6X9mbPoeLeQA_10_3"/>
      <w:bookmarkStart w:id="949" w:name="Tc_3vTLYG5ptE67RDmnHt7FHw_10_0"/>
      <w:bookmarkStart w:id="950" w:name="Tc_yA0_mntBTkCIzQV3XXFZ1Q_9_0"/>
      <w:bookmarkStart w:id="951" w:name="Tc_noiaJvIUcEmRh9O_kc-T9Q_8_0"/>
      <w:bookmarkStart w:id="952" w:name="Tc_O5lAm6iaOEee-_ScASdysA_7_0"/>
      <w:bookmarkStart w:id="953" w:name="Tc_KBkSa0KkmE2UZBLDD0-o9Q_6_0"/>
      <w:bookmarkStart w:id="954" w:name="Tc_61xgKPvKuEKXL2il8tHNUw_5_0"/>
      <w:bookmarkStart w:id="955" w:name="Tc_D5jrBfSrBkKq_RO0as4JSw_4_5"/>
      <w:bookmarkStart w:id="956" w:name="Tc_4l0G9MmjI0WPgSYSkE1Sqg_4_2"/>
      <w:bookmarkStart w:id="957" w:name="Tc_3wzb_nr2okeFUHW99rEYkA_4_0"/>
      <w:bookmarkStart w:id="958" w:name="Tc_x6KVw5Vw0kKwIHxNGpXW_Q_3_0"/>
      <w:bookmarkStart w:id="959" w:name="Tc_f9Q9iRHQLUacG5l-ur4yKQ_2_5"/>
      <w:bookmarkStart w:id="960" w:name="Tc_ZaW9Y0r6mkK_IvaE5dyYaQ_2_2"/>
      <w:bookmarkStart w:id="961" w:name="Tc_5pYuApOsvk6rl9RE62h3YQ_1_2"/>
      <w:bookmarkStart w:id="962" w:name="_2c280045_a05e_4931_a66b_c8202eb2570b"/>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tbl>
      <w:tblPr>
        <w:tblW w:w="9690" w:type="dxa"/>
        <w:jc w:val="left"/>
        <w:tblInd w:w="0" w:type="dxa"/>
        <w:tblLayout w:type="fixed"/>
        <w:tblCellMar>
          <w:top w:w="0" w:type="dxa"/>
          <w:left w:w="0" w:type="dxa"/>
          <w:bottom w:w="0" w:type="dxa"/>
          <w:right w:w="0" w:type="dxa"/>
        </w:tblCellMar>
      </w:tblPr>
      <w:tblGrid>
        <w:gridCol w:w="6736"/>
        <w:gridCol w:w="346"/>
        <w:gridCol w:w="232"/>
        <w:gridCol w:w="869"/>
        <w:gridCol w:w="445"/>
        <w:gridCol w:w="232"/>
        <w:gridCol w:w="830"/>
      </w:tblGrid>
      <w:tr>
        <w:trPr/>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77360" cy="175260"/>
                      <wp:effectExtent l="0" t="0" r="0" b="0"/>
                      <wp:wrapNone/>
                      <wp:docPr id="63" name="Frame63"/>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7320" cy="175260"/>
                      <wp:effectExtent l="0" t="0" r="0" b="0"/>
                      <wp:wrapNone/>
                      <wp:docPr id="65" name="Frame6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51815" cy="175260"/>
                      <wp:effectExtent l="0" t="0" r="0" b="0"/>
                      <wp:wrapNone/>
                      <wp:docPr id="66" name="Frame6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2575" cy="175260"/>
                      <wp:effectExtent l="0" t="0" r="0" b="0"/>
                      <wp:wrapNone/>
                      <wp:docPr id="67" name="Frame67"/>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7320" cy="175260"/>
                      <wp:effectExtent l="0" t="0" r="0" b="0"/>
                      <wp:wrapNone/>
                      <wp:docPr id="68" name="Frame6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27050" cy="175260"/>
                      <wp:effectExtent l="0" t="0" r="0" b="0"/>
                      <wp:wrapNone/>
                      <wp:docPr id="69" name="Frame6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For the Six-Month Periods Ended June 30, </w:t>
            </w:r>
          </w:p>
        </w:tc>
      </w:tr>
      <w:tr>
        <w:trPr/>
        <w:tc>
          <w:tcPr>
            <w:tcW w:w="6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2026</w:t>
            </w:r>
          </w:p>
        </w:tc>
        <w:tc>
          <w:tcPr>
            <w:tcW w:w="445" w:type="dxa"/>
            <w:tcBorders/>
            <w:vAlign w:val="center"/>
          </w:tcPr>
          <w:p>
            <w:pPr>
              <w:pStyle w:val="TableContents"/>
              <w:bidi w:val="0"/>
              <w:spacing w:before="0" w:after="1"/>
              <w:ind w:left="0" w:right="0" w:hanging="0"/>
              <w:jc w:val="left"/>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2025</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  ​</w:t>
            </w:r>
          </w:p>
        </w:tc>
        <w:tc>
          <w:tcPr>
            <w:tcW w:w="445"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114,356</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(78,776)</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Adjustments to reconcile net income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7,433</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10,551</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loss (gain)</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4,303</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(12,311)</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5,831</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6,271</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1,264</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5,133</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on termination of lease liabilities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(1,365)</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disposal of equipment, furniture and fixtures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Undistributed losses of equity method investee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71,902</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interest on 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debt discount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663</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552</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consideration received from related party - revenue arrangement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(104,988)</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derivative liability</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5,223</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Acquired in-process research and development </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27,728</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(Increase) decrease in operating assets: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(3,180)</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 - related party</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(2,818)</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(1,653)</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Unbilled receivables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(24,365)</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Contract assets - related party</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986</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2,039</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Tax incentive receivable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437</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4,851</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(25,015)</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1,516</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assets, net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Increase (decrease) in operating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(2,968)</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(12,842)</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(12,595)</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Lease liabilities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(1,906)</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(5,271)</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Corporate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2,362</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current liabilities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(39,606)</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5,904</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361</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Deferred revenue - related party</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(50,711)</w:t>
            </w:r>
          </w:p>
        </w:tc>
        <w:tc>
          <w:tcPr>
            <w:tcW w:w="445"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(1,720)</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(20,727)</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(80,775)</w:t>
            </w:r>
          </w:p>
        </w:tc>
      </w:tr>
      <w:tr>
        <w:trPr/>
        <w:tc>
          <w:tcPr>
            <w:tcW w:w="6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  ​</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property, plant and equipment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(2,340)</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(2,944)</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Acquisition of in-process research and development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(24,228)</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sale of non-controlling interest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674</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sale of equipment, furniture and fixtures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473</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(25,894)</w:t>
            </w:r>
          </w:p>
        </w:tc>
        <w:tc>
          <w:tcPr>
            <w:tcW w:w="445"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(2,471)</w:t>
            </w:r>
          </w:p>
        </w:tc>
      </w:tr>
      <w:tr>
        <w:trPr/>
        <w:tc>
          <w:tcPr>
            <w:tcW w:w="6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  ​</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share options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828</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Payments of withholdings on shares withheld for income taxes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(5,960)</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(2,761)</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Payments on lease obligations - financing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the issuance of ordinary shares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128,207</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9,915</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costs in connection with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(6,074)</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for treasury shares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(18,193)</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notes payable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(75,000)</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royalty 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123,782</w:t>
            </w:r>
          </w:p>
        </w:tc>
        <w:tc>
          <w:tcPr>
            <w:tcW w:w="445"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7,163</w:t>
            </w:r>
          </w:p>
        </w:tc>
      </w:tr>
      <w:tr>
        <w:trPr/>
        <w:tc>
          <w:tcPr>
            <w:tcW w:w="6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increase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77,161</w:t>
            </w:r>
          </w:p>
        </w:tc>
        <w:tc>
          <w:tcPr>
            <w:tcW w:w="445" w:type="dxa"/>
            <w:tcBorders/>
            <w:vAlign w:val="center"/>
          </w:tcPr>
          <w:p>
            <w:pPr>
              <w:pStyle w:val="TableContents"/>
              <w:bidi w:val="0"/>
              <w:spacing w:before="0" w:after="1"/>
              <w:ind w:left="0" w:right="0" w:hanging="0"/>
              <w:jc w:val="righ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(76,083)</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exchange rate changes on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445" w:type="dxa"/>
            <w:tcBorders/>
            <w:shd w:fill="CCEEFF" w:val="clear"/>
            <w:vAlign w:val="center"/>
          </w:tcPr>
          <w:p>
            <w:pPr>
              <w:pStyle w:val="TableContents"/>
              <w:bidi w:val="0"/>
              <w:spacing w:before="0" w:after="1"/>
              <w:ind w:left="0" w:right="0" w:hanging="0"/>
              <w:jc w:val="righ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4,839</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beginning of the period</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68,193</w:t>
            </w:r>
          </w:p>
        </w:tc>
        <w:tc>
          <w:tcPr>
            <w:tcW w:w="445"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105,668</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145,366</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34,424</w:t>
            </w:r>
          </w:p>
        </w:tc>
      </w:tr>
      <w:tr>
        <w:trPr/>
        <w:tc>
          <w:tcPr>
            <w:tcW w:w="6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Supplemental disclosure of non-cash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  ​</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contribution for acquisition of in-process research and development</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3,263</w:t>
            </w:r>
          </w:p>
        </w:tc>
        <w:tc>
          <w:tcPr>
            <w:tcW w:w="445"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in connection with a license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Fixed asset acquisitions included in 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445"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892</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costs in connection with sale of ordinary shares in accounts payable and accrued expenses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793</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3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Supplemental disclosure of cash flow information:</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  ​</w:t>
            </w:r>
          </w:p>
        </w:tc>
        <w:tc>
          <w:tcPr>
            <w:tcW w:w="445"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6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7,888</w:t>
            </w:r>
          </w:p>
        </w:tc>
        <w:tc>
          <w:tcPr>
            <w:tcW w:w="445"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5,557</w:t>
            </w:r>
          </w:p>
        </w:tc>
      </w:tr>
    </w:tbl>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63" w:name="_14a0b4e4_0dd9_457c_84fc_535620f6cd5b"/>
      <w:bookmarkEnd w:id="963"/>
      <w:r>
        <w:rPr>
          <w:rFonts w:ascii="Times New Roman;Times;serif" w:hAnsi="Times New Roman;Times;serif"/>
          <w:b/>
          <w:sz w:val="20"/>
        </w:rPr>
        <w:t>MEIRAGTX HOLDINGS PLC AND SUBSIDIARIES</w:t>
      </w:r>
    </w:p>
    <w:p>
      <w:pPr>
        <w:pStyle w:val="TextBody"/>
        <w:bidi w:val="0"/>
        <w:spacing w:before="0" w:after="240"/>
        <w:ind w:left="0" w:right="0" w:hanging="0"/>
        <w:jc w:val="center"/>
        <w:rPr>
          <w:rFonts w:ascii="Times New Roman;Times;serif" w:hAnsi="Times New Roman;Times;serif"/>
          <w:b/>
          <w:sz w:val="20"/>
        </w:rPr>
      </w:pPr>
      <w:bookmarkStart w:id="964" w:name="NOTESTOCONDENSEDCONSOLIDATEDFINANCIALSTA"/>
      <w:bookmarkEnd w:id="964"/>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Organization and Basis of Presentation</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The Company</w:t>
      </w:r>
    </w:p>
    <w:p>
      <w:pPr>
        <w:pStyle w:val="TextBody"/>
        <w:bidi w:val="0"/>
        <w:spacing w:before="0" w:after="240"/>
        <w:ind w:left="489"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MeiraGTx Holdings plc and subsidiaries (the “Company” or “MeiraGTx Holdings”), an exempted company incorporated under the laws of the Cayman Islands, is a vertically integrated, clinical-stage genetic medicines company with a broad pipeline of four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late-stage clinical programs. Each of these programs uses local delivery of small doses, resulting in disease-modifying effects in both inherited and more common diseases, in the eye, radiation-induced xerostomia and Parkinson’s disease. The Company uses its innovative technology in optimization of capsids, promoters, and novel translational control elements to develop best-in-class, potent, safe viral vectors. The Company’s broad pipeline is supported by end-to-end in-house manufacturing. The Company has built the most comprehensive manufacturing capabilities in the industry, including two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that are licensed for good manufacturing practices (“GMP”) viral vector production and a GMP Quality Control facility with clinical and commercial licensure. In addition, the Company has developed a proprietary manufacturing platform process over 9 years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based on more than 20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different viral vectors with leading yield and quality aspects and commercial readiness. Uniquely, the Company has developed a novel technology for </w:t>
      </w:r>
      <w:r>
        <w:rPr>
          <w:rFonts w:ascii="Times New Roman;Times;serif" w:hAnsi="Times New Roman;Times;serif"/>
          <w:b w:val="false"/>
          <w:i/>
          <w:sz w:val="20"/>
        </w:rPr>
        <w:t>in vivo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delivery of any biologic therapeutic using oral small molecules. This transformative riboswitch gene regulation platform technology allows precise, dose-responsive expression of gene expression by oral small molecules. The Company is focusing the riboswitch platform on regulated </w:t>
      </w:r>
      <w:r>
        <w:rPr>
          <w:rFonts w:ascii="Times New Roman;Times;serif" w:hAnsi="Times New Roman;Times;serif"/>
          <w:b w:val="false"/>
          <w:i/>
          <w:sz w:val="20"/>
        </w:rPr>
        <w:t>in vivo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delivery of metabolic peptides, including leptin, GLP-1, GIP, glucagon, amylin and PYY, as well as cell therapy, CAR-T for liquid and solid tumors and autoimmune diseases, and additionally, PNS targets addressing long-term intractable pain. The Company has developed the technology to apply genetic medicine to common diseases, increasing efficacy, addressing novel targets, and expanding access in some of the largest disease areas where the unmet need remains high.</w:t>
      </w:r>
    </w:p>
    <w:p>
      <w:pPr>
        <w:pStyle w:val="TextBody"/>
        <w:pBdr/>
        <w:bidi w:val="0"/>
        <w:spacing w:before="0" w:after="240"/>
        <w:ind w:left="489" w:right="0" w:hanging="51"/>
        <w:jc w:val="left"/>
        <w:rPr>
          <w:rFonts w:ascii="Times New Roman;Times;serif" w:hAnsi="Times New Roman;Times;serif"/>
          <w:b/>
          <w:i/>
          <w:sz w:val="20"/>
        </w:rPr>
      </w:pPr>
      <w:r>
        <w:rPr>
          <w:rFonts w:ascii="Times New Roman;Times;serif" w:hAnsi="Times New Roman;Times;serif"/>
          <w:b/>
          <w:i/>
          <w:sz w:val="20"/>
        </w:rPr>
        <w:t xml:space="preserve">Asset Purchase and Related Agreements with Janssen Pharmaceuticals, Inc. </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shd w:fill="FFFFFF" w:val="clear"/>
        </w:rPr>
        <w:t xml:space="preserve">On April 15, 2026 (“Janssen Closing Date”), the Company and MeiraGTx Ocular entered into an Asset Purchase Agreement (the “Asset Purchase Agreement”) with Janssen Pharmaceuticals, Inc. (“Janssen”) to reacquire the global rights to botaretigene sparoparvovec (“bota-vec”) for the treatment of X-linked retinitis pigmentosa associated with mutations in the </w:t>
      </w:r>
      <w:r>
        <w:rPr>
          <w:rFonts w:ascii="Times New Roman;Times;serif" w:hAnsi="Times New Roman;Times;serif"/>
          <w:i/>
          <w:sz w:val="20"/>
          <w:shd w:fill="FFFFFF" w:val="clear"/>
        </w:rPr>
        <w:t>RPGR</w:t>
      </w:r>
      <w:r>
        <w:rPr>
          <w:rFonts w:ascii="Times New Roman;Times;serif" w:hAnsi="Times New Roman;Times;serif"/>
          <w:sz w:val="20"/>
          <w:shd w:fill="FFFFFF" w:val="clear"/>
        </w:rPr>
        <w:t xml:space="preserve"> gene (the “RPGR Product”) through the acquisition of the license agreement and related assets associated with the development, manufacture and commercialization of the RPGR Product. The Company paid Janssen an upfront cash purchase price of $25.0 million, regaining full ownership and control of the RPGR Product and all associated future development and commercialization rights.</w:t>
      </w:r>
    </w:p>
    <w:p>
      <w:pPr>
        <w:pStyle w:val="TextBody"/>
        <w:bidi w:val="0"/>
        <w:spacing w:before="0" w:after="240"/>
        <w:ind w:left="49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addition to the upfront payment, the Asset Purchase Agreement includes a one-time contingent milestone payment of $50.0 million, payable upon the achievement of both of the following regulatory and commercial milestones: U.S. regulatory approval of the RPGR Product and cumulative U.S. net sales exceeding $250.0 million. The Company is also obligated to pay Janssen tiered royalties in the mid-teens on future global net sales of RPGR Products beginning on or after July 1, 2029. If the Company enters into future licensing or commercialization arrangements for the RPGR Product with third parties, Janssen is also entitled to receive a portion of certain upfront and milestone payments, as well as royalties based on amounts received from such third parties or, in certain cases, on the third party's net sales of RPGR Products.</w:t>
      </w:r>
    </w:p>
    <w:p>
      <w:pPr>
        <w:pStyle w:val="TextBody"/>
        <w:bidi w:val="0"/>
        <w:spacing w:before="0" w:after="240"/>
        <w:ind w:left="49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part of the transaction, the parties entered into a Termination Agreement on the Janssen Closing Date (the “Termination Agreement”) to terminate the prior asset purchase agreement (the “Original Asset Purchase Agreement”) pursuant to which the Company and MeiraGTx UK II sold the RPGR Product to Janssen, and the related supply agreement (the “Supply Agreement”), each entered into on December 20, 2023, thereby restoring the Company’s full strategic and operational control over the RPGR Product while establishing the future contingent payment obligations described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shd w:fill="FFFFFF" w:val="clear"/>
        </w:rPr>
        <w:t xml:space="preserve">Johnson &amp; Johnson Innovation – JJDC, Inc. (“JJDC”), the investment arm of Johnson &amp; Johnson and the indirect owner of Janssen, continues to hold more than 5% of the Company's outstanding ordinary shares. As a result, Janssen remains a related party of the Company for financial reporting purposes. In connection with the above transaction, JJDC and Janssen have also agreed not to sell or transfer any of the Company’s ordinary shares or securities convertible into, exchangeable for, or exercisable for the Company’s ordinary shares, for twelve months following the Janssen Closing Date and following such twelve month period, if they ever intend to sell the Company’s shares after the twelve month period, they will provide written notice to the Company at least </w:t>
      </w:r>
      <w:r>
        <w:rPr>
          <w:rFonts w:ascii="Times New Roman;Times;serif" w:hAnsi="Times New Roman;Times;serif"/>
          <w:b w:val="false"/>
          <w:i w:val="false"/>
          <w:caps w:val="false"/>
          <w:smallCaps w:val="false"/>
          <w:sz w:val="20"/>
          <w:shd w:fill="FFFFFF" w:val="clear"/>
        </w:rPr>
        <w:t>five</w:t>
      </w:r>
      <w:r>
        <w:rPr>
          <w:rFonts w:ascii="Times New Roman;Times;serif" w:hAnsi="Times New Roman;Times;serif"/>
          <w:sz w:val="20"/>
          <w:shd w:fill="FFFFFF" w:val="clear"/>
        </w:rPr>
        <w:t xml:space="preserve"> business days prior to taking any action. </w:t>
      </w:r>
    </w:p>
    <w:p>
      <w:pPr>
        <w:pStyle w:val="TextBody"/>
        <w:bidi w:val="0"/>
        <w:spacing w:before="0" w:after="220"/>
        <w:ind w:left="0" w:right="0" w:firstLine="450"/>
        <w:jc w:val="both"/>
        <w:rPr>
          <w:rFonts w:ascii="Times New Roman;Times;serif" w:hAnsi="Times New Roman;Times;serif"/>
          <w:b/>
          <w:i/>
          <w:sz w:val="20"/>
        </w:rPr>
      </w:pPr>
      <w:r>
        <w:rPr>
          <w:rFonts w:ascii="Times New Roman;Times;serif" w:hAnsi="Times New Roman;Times;serif"/>
          <w:b/>
          <w:i/>
          <w:sz w:val="20"/>
        </w:rPr>
        <w:t xml:space="preserve">Eli Lilly and Company Collaboration Agreement </w:t>
      </w:r>
    </w:p>
    <w:p>
      <w:pPr>
        <w:pStyle w:val="TextBody"/>
        <w:bidi w:val="0"/>
        <w:spacing w:before="0" w:after="220"/>
        <w:ind w:left="489" w:right="0" w:hanging="0"/>
        <w:jc w:val="both"/>
        <w:rPr>
          <w:rFonts w:ascii="Times New Roman;Times;serif" w:hAnsi="Times New Roman;Times;serif"/>
          <w:sz w:val="20"/>
        </w:rPr>
      </w:pPr>
      <w:r>
        <w:rPr>
          <w:rFonts w:ascii="Times New Roman;Times;serif" w:hAnsi="Times New Roman;Times;serif"/>
          <w:sz w:val="20"/>
        </w:rPr>
        <w:t>On November 7, 2025 (the “Lilly Effective Date”), MeiraGTx Ocular, MeiraGTx Limited and MeiraGTx UK II (collectively, “MeiraGTx”), entered into a strategic collaboration and license agreement with Eli Lilly and Company (“Lilly”) (the “Lilly Collaboration Agreement”) for the research, development and commercialization of genetic medicines in and related to the area of ophthalmology. Under the Lilly Collaboration Agreement, MeiraGTx has granted Lilly exclusive, worldwide rights to research, develop and commercialize the Company’s product candidate AAV-AIPL1, which treats Leber congenital amaurosis 4, or LCA4, caused by mutations in the AIPL1 gene, as well as two other preclinical product candidates which are intended to treat other inherited retinal dystrophies. As of the Lilly Effective Date, Lilly has (i) an exclusive license to proprietary intravitreal capsids for use with up to five targets, relating to or useful in the field of ophthalmology, to be selected by Lilly, (ii) an exclusive license to proprietary pan-retinal or rod-specific promoters for use with up to five targets, relating to or useful in the field of ophthalmology, to be selected by Lilly and (iii) a right of first designation with respect to certain target-specific transactions that MeiraGTx Ocular or its affiliates may seek to pursue in the field of ophthalmology. Lilly also has a right of first negotiation for use of the Company’s proprietary riboswitch technology in the field of ophthalmological gene editing.</w:t>
      </w:r>
    </w:p>
    <w:p>
      <w:pPr>
        <w:pStyle w:val="TextBody"/>
        <w:bidi w:val="0"/>
        <w:spacing w:before="0" w:after="220"/>
        <w:ind w:left="489" w:right="0" w:hanging="0"/>
        <w:jc w:val="both"/>
        <w:rPr>
          <w:rFonts w:ascii="Times New Roman;Times;serif" w:hAnsi="Times New Roman;Times;serif"/>
          <w:sz w:val="20"/>
        </w:rPr>
      </w:pPr>
      <w:r>
        <w:rPr>
          <w:rFonts w:ascii="Times New Roman;Times;serif" w:hAnsi="Times New Roman;Times;serif"/>
          <w:sz w:val="20"/>
        </w:rPr>
        <w:t>Under the terms of the Lilly Collaboration Agreement, MeiraGTx received an upfront payment of $75.0 million after signing the Lilly Collaboration Agreement and will be eligible to receive up to over $400.0 million in total milestone payments, including up to $135.0 million in other potential near-term cash consideration upon the achievement of certain development and regulatory approval milestones. Lilly has the right to research, develop and commercialize products under the Lilly Collaboration Agreement, at its own cost. The Company may also perform research, development and manufacturing services for Lilly under the Lilly Collaboration Agreement and related agreements, for which it is entitled to reimbursement in accordance with the applicable contractual terms. The Lilly Collaboration Agreement also provides for tiered royalties to be paid to MeiraGTx Ocular on future product sales.</w:t>
      </w:r>
    </w:p>
    <w:p>
      <w:pPr>
        <w:pStyle w:val="TextBody"/>
        <w:bidi w:val="0"/>
        <w:spacing w:before="0" w:after="220"/>
        <w:ind w:left="489" w:right="0" w:hanging="0"/>
        <w:jc w:val="both"/>
        <w:rPr>
          <w:rFonts w:ascii="Times New Roman;Times;serif" w:hAnsi="Times New Roman;Times;serif"/>
          <w:b/>
          <w:i/>
          <w:sz w:val="20"/>
        </w:rPr>
      </w:pPr>
      <w:r>
        <w:rPr>
          <w:rFonts w:ascii="Times New Roman;Times;serif" w:hAnsi="Times New Roman;Times;serif"/>
          <w:b/>
          <w:i/>
          <w:sz w:val="20"/>
        </w:rPr>
        <w:t>Hologen Strategic Collaboration</w:t>
      </w:r>
    </w:p>
    <w:p>
      <w:pPr>
        <w:pStyle w:val="TextBody"/>
        <w:pBdr/>
        <w:bidi w:val="0"/>
        <w:spacing w:before="0" w:after="240"/>
        <w:ind w:left="450" w:right="0" w:hanging="39"/>
        <w:jc w:val="both"/>
        <w:rPr>
          <w:rFonts w:ascii="Times New Roman;Times;serif" w:hAnsi="Times New Roman;Times;serif"/>
          <w:sz w:val="20"/>
        </w:rPr>
      </w:pPr>
      <w:r>
        <w:rPr>
          <w:rFonts w:ascii="Times New Roman;Times;serif" w:hAnsi="Times New Roman;Times;serif"/>
          <w:sz w:val="20"/>
        </w:rPr>
        <w:t>On March 9, 2025, the Company and certain of its affiliates entered into a strategic collaboration with Hologen Limited (“Hologen”) and certain of its affiliates to advance the development of certain central nervous system gene therapy programs and to support the Company’s manufacturing capabilities. Hologen is a leading developer of multi-modal generative AI foundation models of real-world clinical data for clinical medicine and pharmaceutical drug development. Under the collaboration, Hologen committed to provide an upfront payment of $200.0 million and up to an additional $230.0 million to fund the development of the Company’s AAV-GAD program for the treatment of Parkinson’s disease to commercialization and other locally delivered central nervous system therapies. The Company also received an aggregate of 500,000 Class A shares of Hologen for nominal consideration. As of June 30, 2026, Hologen had funded $105.0 million of the upfront payment commitment.</w:t>
      </w:r>
    </w:p>
    <w:p>
      <w:pPr>
        <w:pStyle w:val="TextBody"/>
        <w:bidi w:val="0"/>
        <w:spacing w:before="0" w:after="0"/>
        <w:ind w:left="489" w:right="0" w:hanging="0"/>
        <w:jc w:val="both"/>
        <w:rPr>
          <w:rFonts w:ascii="Times New Roman;Times;serif" w:hAnsi="Times New Roman;Times;serif"/>
          <w:sz w:val="20"/>
        </w:rPr>
      </w:pPr>
      <w:r>
        <w:rPr>
          <w:rFonts w:ascii="Times New Roman;Times;serif" w:hAnsi="Times New Roman;Times;serif"/>
          <w:sz w:val="20"/>
        </w:rPr>
        <w:t xml:space="preserve">The collaboration is governed by two framework agreements. The first, between the Company, MeiraGTx Neuro UK, Reogen Limited (formerly known as Hologen Neuro AI Limited) (“Reogen”) and Hologen, relates to the management of the business and affairs of Reogen, including the research, development, manufacture and commercialization of our (i) AAV-GAD investigational gene therapy for the treatment of Parkinson’s disease, AAV-BDNF investigational gene therapy for the treatment of genetic obesity disorders and other potential locally delivered genetic medicines to the central nervous system (the “Clinical Programs”) and (ii) proprietary device designed to effect the local delivery of a gene therapy product into the central nervous system or any topographic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subcutaneous tissue modification on the face and scalp, of humans or animals (the “Delivery Device”), in each case, in accordance with the terms and conditions of the Hologen Collaboration Agreement as further described below. The second, between MeiraGTx Manufacturing, MeiraGTx Limited and Hologen, provides for the management of the business and affairs of MeiraGTx Manufacturing, including Hologen’s investment in MeiraGTx Manufacturing and its participation in funding the manufacturing business.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During the second quarter of 2026, the parties completed the initial closing of the strategic collaboration and entered into amendments to the framework agreements to facilitate the initial funding and investment structures. As part of the initial closing, the Company, MeiraGTx Neuro UK, MeiraGTx Neuro I, Reogen, Hologen Neuro AI UK Limited and Hologen entered into the Collaboration and License Agreement, dated as of April 20, 2026 (the “Hologen Collaboration Agreement”) governing the research, development, manufacturing and commercialization of the Clinical Programs and the Delivery Device. The parties also completed Hologen’s initial investment in MeiraGTx Manufacturing. Following the initial closing, MeiraGTx Neuro UK holds a 39% ownership interest in Reogen, and Hologen holds a minority interest in MeiraGTx Manufacturing.</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Following the initial closing, Hologen will fund an additional $95.0 million to satisfy the remaining portion of the upfront payments provided for under the framework agreements and the Hologen Collaboration Agreement. These funds will be used by Hologen to purchase (i) a portion of the Reogen shares held by MeiraGTx Neuro UK, such that following the purchase, MeiraGTx Neuro UK and Hologen are expected to hold 30% and 70% of the outstanding shares in Reogen, respectively, and (ii) additional shares in MeiraGTx Manufacturing from MeiraGTx Limited, such that following the purchase, Hologen will have increased its minority interest in MeiraGTx Manufacturing. The Company's obligation to issue additional MeiraGTx Manufacturing shares in exchange for the additional funding gives rise to a contingent forward financial instrument, which is recognized and measured at fair value as described in Note 5. The framework agreement relating to MeiraGTx Manufacturing also provides Hologen with an option to increase its ownership interest in MeiraGTx Manufacturing to up to 40%, which may be exercised within twelve months after Hologen purchases all of its additional shares in MeiraGTx Manufacturing using a portion of the proceeds from the remaining amount of the upfront payment to be paid, subject to the terms and conditions of the framework agreement. This option gives rise to a financial instrument that is recognized and measured at fair value as described in Note 5. If Hologen does not exercise the option during that twelve month period, then the Company has an option to purchase all of the shares of MeiraGTx Manufacturing held by Hologen for the same price that Hologen paid for such shares. The Company may exercise its option beginning on the third anniversary of the date Hologen purchases its additional shares in MeiraGTx Manufacturing and ending three years thereafter.</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 Certain reclassifications of prior period activities have been made to conform to current year presentation.</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Interim Financial Statements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GAAP for interim financial information and with the instructions to Form 10-Q and Article 10 of Regulation S-X. Accordingly, they do not include all the information and footnotes required by GAAP for complete consolidated financial statements. In the opinion of management, the condensed consolidated financial statements include all adjustments (consisting of normal recurring adjustments) necessary in order to make the condensed consolidated financial statements not misleading. Operating results for the six-month period ended June 30, 2026 are not necessarily indicative of the results that may be expected for the year ending December 31, 2026. These unaudited condensed consolidated financial statements should be read in conjunction with the audited consolidated financial statements and the notes thereto for the year ended December 31, 2025 included in the Company’s Annual Report on Form 10-K for the fiscal year ended December 31, 2025 (the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The Company does not currently have any approved products and has never generated any revenue from product sales. Although the Company has achieved profitable operations during the current period, such profitability was primarily attributable to non-recurring transactions and there is no assurance that profitable operations could be sustained on a continuing basis. In addition, development activities, clinical and preclinical testing, and commercialization of the Company’s product candidates will require significant additional financing. The Company’s accumulated deficit at June 30, 2026 totaled $701.8 million, and management expects to incur substantial losses in future periods. The success of the Company is subject to certain risks and uncertainties, including, among others: uncertainty of product development; competition in the Company’s field of use; uncertainty of capital availability; uncertainty in the Company’s ability to enter into agreements and consummate transactions with collaborative partners; expanding and protecting the Company’s intellectual property portfolio; dependence on third parties; and dependence on key personnel. For the six months ended June 30, 2026, the Company had $20.7 million cash flows used in operations. There are no assurances that the Company will generate positive cash flows in the future. Additionally, there are no assurances that the Company will be successful in obtaining an adequate level of financing for the development and commercialization of its product candidates.</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As of June 30, 2026, the Company had cash, cash equivalents and restricted cash in the amount of $145.4 million, which consisted of depository and money market accounts held at large international banks. The Company estimates that its cash and cash equivalents on-hand, accounts receivable, accounts receivable – related party, unbilled receivables – related party and tax incentive receivable at June 30, 2026, together with the $35.0 million gross proceeds from the Second Purchase of the Royalty Notes under the Royalty Note Purchase Agreement and sale of ordinary shares to the Purchasers under the Securities Purchase Agreement (as such capitalized terms are defined in, and such transactions are described in, Note 12) in the third quarter of 2026 will be sufficient to cover its expenses for at least the next twelve months from the date of issuance of these condensed consolidated financial statements. This estimate does not include the additional $95.0 million upfront payment from Hologen or the $135.0 million in potential near-term cash consideration from Lilly upon achievement of certain development and regulatory approval milestones, or any subsequent tranches available under the Royalty Note Purchase Agreement.</w:t>
      </w:r>
    </w:p>
    <w:p>
      <w:pPr>
        <w:pStyle w:val="TextBody"/>
        <w:bidi w:val="0"/>
        <w:spacing w:before="0" w:after="0"/>
        <w:ind w:left="540" w:right="0" w:hanging="0"/>
        <w:jc w:val="both"/>
        <w:rPr/>
      </w:pPr>
      <w:r>
        <w:rPr/>
        <w:t>​</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 xml:space="preserve">The Company operates in an industry that is subject to intense competition, government regulation and rapid technological change. The Company’s operations are subject to significant risk and uncertainties including financial, operational, technological, regulatory and other risks, including the potential risk of business failure. </w:t>
      </w:r>
    </w:p>
    <w:p>
      <w:pPr>
        <w:pStyle w:val="TextBody"/>
        <w:pBdr/>
        <w:bidi w:val="0"/>
        <w:spacing w:before="0" w:after="240"/>
        <w:ind w:left="450" w:right="0" w:hanging="39"/>
        <w:jc w:val="both"/>
        <w:rPr>
          <w:rFonts w:ascii="Times New Roman;Times;serif" w:hAnsi="Times New Roman;Times;serif"/>
          <w:sz w:val="20"/>
        </w:rPr>
      </w:pPr>
      <w:r>
        <w:rPr>
          <w:rFonts w:ascii="Times New Roman;Times;serif" w:hAnsi="Times New Roman;Times;serif"/>
          <w:sz w:val="20"/>
        </w:rPr>
        <w:t>The Company’s capital resources and operations to date have been funded primarily with the proceeds from the Company’s collaboration and business development activities and private and public equity offerings, as well as proceeds from debt financings. In the future, the Company may seek to raise additional capital through equity offerings, debt financings, marketing and distribution arrangements and other collaborations, strategic alliances and licensing arrangements or other sources to enable it to complete the development and potential commercialization of its product candidates.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Certain of the Company’s significant accounting policies are described below. All of the Company’s significant accounting policies are disclosed in the notes to the audited consolidated financial statements as of and for the year ended December 31, 2025 included in the Company’s Form 10-K.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Consolidation</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MeiraGTx Holdings and its subsidiaries:</w:t>
      </w:r>
    </w:p>
    <w:p>
      <w:pPr>
        <w:pStyle w:val="TextBody"/>
        <w:bidi w:val="0"/>
        <w:spacing w:before="0" w:after="240"/>
        <w:ind w:left="1080" w:right="0" w:hanging="0"/>
        <w:jc w:val="both"/>
        <w:rPr/>
      </w:pPr>
      <w:r>
        <w:rPr/>
        <w:t>​</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Limited, a limited company incorporated under the laws of England and Wales;</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LLC, a Delaware limited liability company;</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UK II Limited, a limited company incorporated under the laws of England and Wales (“MeiraGTx UK II”);</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Ireland DAC, a designated activity company incorporated under the laws of Ireland (“MeiraGTx Ireland”);</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UK Limited, a limited company incorporated under the laws of England and Wales (“MeiraGTx UK”);</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Belgium, a private company with limited liability incorporated under the laws of Belgium (“MeiraGTx Belgium”);</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Cell Therapies, a simplified joint stock company, incorporated under the laws of France;</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BRI-Alzan, Inc., a Delaware corporation;</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Bio, Inc., a Delaware corporation;</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B.V., a private company with limited liability incorporated under the laws of the Netherlands (“MeiraGTx B.V.”);</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Netherlands, B.V., a private company with limited liability incorporated under the laws of the Netherlands (“MeiraGTx Netherlands”);</w:t>
      </w:r>
    </w:p>
    <w:p>
      <w:pPr>
        <w:pStyle w:val="TextBody"/>
        <w:bidi w:val="0"/>
        <w:spacing w:before="0" w:after="120"/>
        <w:ind w:left="1080" w:right="0" w:hanging="0"/>
        <w:jc w:val="left"/>
        <w:rPr>
          <w:rFonts w:ascii="Times New Roman;Times;serif" w:hAnsi="Times New Roman;Times;serif"/>
          <w:sz w:val="20"/>
        </w:rPr>
      </w:pPr>
      <w:r>
        <w:rPr>
          <w:rFonts w:ascii="Times New Roman;Times;serif" w:hAnsi="Times New Roman;Times;serif"/>
          <w:sz w:val="20"/>
        </w:rPr>
        <w:t xml:space="preserve">MeiraGTx Neurosciences, Inc., a Delaware corporation; </w:t>
      </w:r>
    </w:p>
    <w:p>
      <w:pPr>
        <w:pStyle w:val="TextBody"/>
        <w:bidi w:val="0"/>
        <w:spacing w:before="0" w:after="120"/>
        <w:ind w:left="1080" w:right="0" w:hanging="0"/>
        <w:jc w:val="left"/>
        <w:rPr>
          <w:rFonts w:ascii="Times New Roman;Times;serif" w:hAnsi="Times New Roman;Times;serif"/>
          <w:sz w:val="20"/>
        </w:rPr>
      </w:pPr>
      <w:r>
        <w:rPr>
          <w:rFonts w:ascii="Times New Roman;Times;serif" w:hAnsi="Times New Roman;Times;serif"/>
          <w:sz w:val="20"/>
        </w:rPr>
        <w:t>MeiraGTx Therapeutics, Inc., a Delaware corporation;</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Neuro I, LLC, a Delaware limited liability company (“MeiraGTx Neuro US”);</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Neuro II, LLC, a Delaware limited liability company;</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Manufacturing Limited, a limited company incorporated under the laws of England and Wales (“MeiraGTx Manufacturing”);</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Ocular UK Limited, a limited company incorporated under the laws of England and Wales (“MeiraGTx Ocular”);</w:t>
      </w:r>
    </w:p>
    <w:p>
      <w:pPr>
        <w:pStyle w:val="TextBody"/>
        <w:bidi w:val="0"/>
        <w:spacing w:before="0" w:after="120"/>
        <w:ind w:left="1080" w:right="0" w:hanging="0"/>
        <w:jc w:val="both"/>
        <w:rPr>
          <w:rFonts w:ascii="Times New Roman;Times;serif" w:hAnsi="Times New Roman;Times;serif"/>
          <w:sz w:val="20"/>
        </w:rPr>
      </w:pPr>
      <w:r>
        <w:rPr>
          <w:rFonts w:ascii="Times New Roman;Times;serif" w:hAnsi="Times New Roman;Times;serif"/>
          <w:sz w:val="20"/>
        </w:rPr>
        <w:t>MeiraGTx Gene Regulation Limited, a limited company incorporated under the laws of England and Wales; and</w:t>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MeiraGTx Neuro UK Limited, a limited company incorporated under the laws of England and Wales (“MeiraGTx Neuro UK”).</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All the above subsidiaries are wholly owned by MeiraGTx Holdings, except that Hologen holds a minority interest in MeiraGTx Manufacturing. All intercompany balances and transactions between the consolidated companies have been eliminated in consolidation.</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489" w:right="0" w:hanging="0"/>
        <w:jc w:val="both"/>
        <w:rPr>
          <w:rFonts w:ascii="Times New Roman;Times;serif" w:hAnsi="Times New Roman;Times;serif"/>
          <w:sz w:val="20"/>
        </w:rPr>
      </w:pPr>
      <w:r>
        <w:rPr>
          <w:rFonts w:ascii="Times New Roman;Times;serif" w:hAnsi="Times New Roman;Times;serif"/>
          <w:sz w:val="20"/>
        </w:rPr>
        <w:t xml:space="preserve">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89" w:right="0" w:hanging="0"/>
        <w:jc w:val="both"/>
        <w:rPr>
          <w:rFonts w:ascii="Times New Roman;Times;serif" w:hAnsi="Times New Roman;Times;serif"/>
          <w:sz w:val="20"/>
        </w:rPr>
      </w:pPr>
      <w:bookmarkStart w:id="965" w:name="Tc_OzFE7tci8EiNnsaEIDEpng_5_5"/>
      <w:bookmarkStart w:id="966" w:name="Tc_1aSJsd35UU2rVdTKxhmFhw_5_2"/>
      <w:bookmarkStart w:id="967" w:name="Tc_X4I1Nd9D1kyoqRazYsRY7w_5_0"/>
      <w:bookmarkStart w:id="968" w:name="Tc_RzGpYuGLx0G9h8U4nEq9IA_4_0"/>
      <w:bookmarkStart w:id="969" w:name="Tc_ILh5RdFSLUOSXY-CVRaVHg_3_5"/>
      <w:bookmarkStart w:id="970" w:name="Tc_RtW_glRrjkuOS8le0_MwZw_3_2"/>
      <w:bookmarkStart w:id="971" w:name="Tc_TqtC5y5naE6aQG9WwwHWvg_3_0"/>
      <w:bookmarkStart w:id="972" w:name="Tc_GnyxseraFUWugzANsRTaqQ_2_5"/>
      <w:bookmarkStart w:id="973" w:name="Tc_WK_MzCLN3kWk5EVaKBhJZw_2_2"/>
      <w:bookmarkStart w:id="974" w:name="Tc_wnt7FUHN10K24WFU7eSpXQ_1_5"/>
      <w:bookmarkStart w:id="975" w:name="Tc_RJBPadk2Rkys4DvkMe0crQ_1_2"/>
      <w:bookmarkEnd w:id="965"/>
      <w:bookmarkEnd w:id="966"/>
      <w:bookmarkEnd w:id="967"/>
      <w:bookmarkEnd w:id="968"/>
      <w:bookmarkEnd w:id="969"/>
      <w:bookmarkEnd w:id="970"/>
      <w:bookmarkEnd w:id="971"/>
      <w:bookmarkEnd w:id="972"/>
      <w:bookmarkEnd w:id="973"/>
      <w:bookmarkEnd w:id="974"/>
      <w:bookmarkEnd w:id="975"/>
      <w:r>
        <w:rPr>
          <w:rFonts w:ascii="Times New Roman;Times;serif" w:hAnsi="Times New Roman;Times;serif"/>
          <w:sz w:val="20"/>
        </w:rPr>
        <w:t>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condensed consolidated financial statements, management is required to make estimates and assumptions that affect the amounts reported in the condensed consolidated financial statements and accompanying notes. Significant estimates include, among others, the measurement of progress towards satisfaction of performance obligations, estimates of stand-alone selling price and material rights in revenue arrangements, the accounting for research and development costs, share-based compensation, lease related assumptions, asset retirement obligations, the fair value of financial instruments and the valuation of tax incentive receivable.</w:t>
      </w:r>
    </w:p>
    <w:p>
      <w:pPr>
        <w:pStyle w:val="TextBody"/>
        <w:bidi w:val="0"/>
        <w:spacing w:before="0" w:after="240"/>
        <w:ind w:left="49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Restricted cash represents a guarantee put in place as required by the terms of the research and innovation grant from IDA Ireland which offers financial assistance in establishing the Company’s operations in Shannon, Ireland. The following table provides a reconciliation of the components of cash and cash equivalents and restricted cash reported in the Company’s condensed consolidated balance sheets to the total of the amount presented in the condensed consolidated statements of cash flows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31"/>
        <w:gridCol w:w="346"/>
        <w:gridCol w:w="211"/>
        <w:gridCol w:w="781"/>
        <w:gridCol w:w="346"/>
        <w:gridCol w:w="269"/>
        <w:gridCol w:w="1021"/>
      </w:tblGrid>
      <w:tr>
        <w:trPr/>
        <w:tc>
          <w:tcPr>
            <w:tcW w:w="7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591685" cy="175260"/>
                      <wp:effectExtent l="0" t="0" r="0" b="0"/>
                      <wp:wrapNone/>
                      <wp:docPr id="70" name="Frame70"/>
                      <a:graphic xmlns:a="http://schemas.openxmlformats.org/drawingml/2006/main">
                        <a:graphicData uri="http://schemas.microsoft.com/office/word/2010/wordprocessingShape">
                          <wps:wsp>
                            <wps:cNvSpPr txBox="1"/>
                            <wps:spPr>
                              <a:xfrm>
                                <a:off x="0" y="0"/>
                                <a:ext cx="459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70815" cy="175260"/>
                      <wp:effectExtent l="0" t="0" r="0" b="0"/>
                      <wp:wrapNone/>
                      <wp:docPr id="75" name="Frame7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335" cy="175260"/>
                      <wp:effectExtent l="0" t="0" r="0" b="0"/>
                      <wp:wrapNone/>
                      <wp:docPr id="76" name="Frame7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7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72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143,166</w:t>
            </w:r>
          </w:p>
        </w:tc>
        <w:tc>
          <w:tcPr>
            <w:tcW w:w="346" w:type="dxa"/>
            <w:tcBorders/>
            <w:shd w:fill="CCEEFF" w:val="clear"/>
            <w:vAlign w:val="center"/>
          </w:tcPr>
          <w:p>
            <w:pPr>
              <w:pStyle w:val="TableContents"/>
              <w:bidi w:val="0"/>
              <w:spacing w:before="0" w:after="0"/>
              <w:ind w:left="0" w:right="0" w:hanging="0"/>
              <w:jc w:val="left"/>
              <w:rPr/>
            </w:pPr>
            <w:r>
              <w:rPr/>
              <w:t>  ​ ​ ​</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65,931</w:t>
            </w:r>
          </w:p>
        </w:tc>
      </w:tr>
      <w:tr>
        <w:trPr/>
        <w:tc>
          <w:tcPr>
            <w:tcW w:w="7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r>
      <w:tr>
        <w:trPr/>
        <w:tc>
          <w:tcPr>
            <w:tcW w:w="72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cash, cash equivalents and restricted cash in the condensed consolidated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145,366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68,193</w:t>
            </w:r>
          </w:p>
        </w:tc>
      </w:tr>
    </w:tbl>
    <w:p>
      <w:pPr>
        <w:pStyle w:val="TextBody"/>
        <w:bidi w:val="0"/>
        <w:spacing w:before="0" w:after="0"/>
        <w:ind w:left="0" w:right="0" w:hanging="0"/>
        <w:jc w:val="left"/>
        <w:rPr/>
      </w:pPr>
      <w:r>
        <w:rPr/>
        <w:t>​</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 xml:space="preserve">The Company follows ASC 820, </w:t>
      </w:r>
      <w:r>
        <w:rPr>
          <w:rFonts w:ascii="Times New Roman;Times;serif" w:hAnsi="Times New Roman;Times;serif"/>
          <w:i/>
          <w:sz w:val="20"/>
        </w:rPr>
        <w:t>Fair Value Measurements and Disclosures</w:t>
      </w:r>
      <w:r>
        <w:rPr>
          <w:rFonts w:ascii="Times New Roman;Times;serif" w:hAnsi="Times New Roman;Times;serif"/>
          <w:sz w:val="20"/>
        </w:rPr>
        <w:t>, for application to financial assets and liabilities. In addition to defining fair value, the standard expands the disclosure requirements around fair value and establishes a fair value hierarchy for valuation inputs. The hierarchy prioritizes the inputs into three levels based on the extent to which inputs used in measuring fair value are observable in the market. Each fair value measurement is reported in one of the three levels which are determined by the lowest level input that is significant to the fair value measurement in its entirety. These levels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the reporting entity has the ability to access as of the measurement date;</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the reporting entity to develop its own assumptions.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50" w:right="0" w:hanging="0"/>
        <w:jc w:val="both"/>
        <w:rPr>
          <w:rFonts w:ascii="Times New Roman;Times;serif" w:hAnsi="Times New Roman;Times;serif"/>
          <w:sz w:val="20"/>
        </w:rPr>
      </w:pPr>
      <w:bookmarkStart w:id="976" w:name="Tc_tZRK7pR6GEqgp4q6yQ9j9A_6_6"/>
      <w:bookmarkStart w:id="977" w:name="Tc_hjjleuCWU0eH6ak5bUdYNQ_6_4"/>
      <w:bookmarkStart w:id="978" w:name="Tc_iV5J35q1D0KWsj_EcAPR-w_6_2"/>
      <w:bookmarkStart w:id="979" w:name="Tc_FaoG0mLNIkKQDU3kVoaQZA_6_0"/>
      <w:bookmarkStart w:id="980" w:name="Tc_eMCEG7zEaE2BjoNlfcxmuA_5_6"/>
      <w:bookmarkStart w:id="981" w:name="Tc_CyJAxiHid0WZYZAp5PTyQw_5_4"/>
      <w:bookmarkStart w:id="982" w:name="Tc_VZZ3VvhLnkuJz71809BLHA_5_2"/>
      <w:bookmarkStart w:id="983" w:name="Tc_WLkrT2dWd0GYTbwh4tfJag_5_0"/>
      <w:bookmarkStart w:id="984" w:name="Tc_lSoHluOGFUe5kxsWLo9ikA_4_6"/>
      <w:bookmarkStart w:id="985" w:name="Tc_cF2o90pFlEmBGlP4I9xtzg_4_4"/>
      <w:bookmarkStart w:id="986" w:name="Tc__OD5BUwu9UKKqxrMJQzcQg_4_2"/>
      <w:bookmarkStart w:id="987" w:name="Tc_rp-FMx9T5UCCDvpBhI3yeA_4_0"/>
      <w:bookmarkStart w:id="988" w:name="Tc_yQCBqVzr20eFWWu3U_cwmg_3_6"/>
      <w:bookmarkStart w:id="989" w:name="Tc_kgjmSSlLxUqTqTO2x0tuig_3_4"/>
      <w:bookmarkStart w:id="990" w:name="Tc_95B1jlQcqEyJAeVgGmw4wA_3_2"/>
      <w:bookmarkStart w:id="991" w:name="Tc_LtBYahcexECDhWA-50Z9Yg_3_0"/>
      <w:bookmarkStart w:id="992" w:name="Tc_zn72mE1cM0Gk_a8wZjp3xg_2_6"/>
      <w:bookmarkStart w:id="993" w:name="Tc_Xj3OfbqB_UyeXIwas6t4RA_2_4"/>
      <w:bookmarkStart w:id="994" w:name="Tc_nFDyS59Vy0S3JAsijoO1cg_2_2"/>
      <w:bookmarkStart w:id="995" w:name="Tc__obeEWku5UiZN64O3rgq1g_2_0"/>
      <w:bookmarkStart w:id="996" w:name="Tc_Dt0GZu5jDkWOEWa9eNFZlw_1_6"/>
      <w:bookmarkStart w:id="997" w:name="Tc_npXZ5aL2x0GpZEmq0a228A_5_12"/>
      <w:bookmarkStart w:id="998" w:name="Tc_3CAAxLwN2E6kUTSzIlGQXA_5_11"/>
      <w:bookmarkStart w:id="999" w:name="Tc_MLfGOjblA06RhoR0J1UEcw_5_9"/>
      <w:bookmarkStart w:id="1000" w:name="Tc_cQRTQfZwHU2HdmTKd7uboQ_5_8"/>
      <w:bookmarkStart w:id="1001" w:name="Tc_mnudOYtFBkW2TFFMJ0a06A_5_5"/>
      <w:bookmarkStart w:id="1002" w:name="Tc_0Pm62pi2_063MCuNdbBIIg_5_2"/>
      <w:bookmarkStart w:id="1003" w:name="Tc_oPKl1tlX40GZ9b7XP0cobA_5_0"/>
      <w:bookmarkStart w:id="1004" w:name="Tc_UUSRmAvB-UGCcOR69m618A_4_11"/>
      <w:bookmarkStart w:id="1005" w:name="Tc_5BcABZaraEiJBwELmLKqXQ_4_8"/>
      <w:bookmarkStart w:id="1006" w:name="Tc_aNUfTN-TXEm4ZfxUfSgWyQ_4_5"/>
      <w:bookmarkStart w:id="1007" w:name="Tc_FBeRKO9eY0ejwNeH1Fc7BA_4_2"/>
      <w:bookmarkStart w:id="1008" w:name="Tc_IMCE0OFj3kWiitCu9EMJNA_4_0"/>
      <w:bookmarkStart w:id="1009" w:name="Tc_hpgL1fJg_EuT0CADVjP1Lg_3_11"/>
      <w:bookmarkStart w:id="1010" w:name="Tc_yX_94eUmrkmSvYbooEmq8Q_3_8"/>
      <w:bookmarkStart w:id="1011" w:name="Tc_dJhF0G5H2EajzEjkFry_0g_3_5"/>
      <w:bookmarkStart w:id="1012" w:name="Tc_AAwIBpgW20iVk7Av2M_UzA_3_2"/>
      <w:bookmarkStart w:id="1013" w:name="Tc__7oG98C_W02MQM9tAXmyJA_2_11"/>
      <w:bookmarkStart w:id="1014" w:name="Tc_f6XoY4pwe02pQzPCjW48Xw_2_8"/>
      <w:bookmarkStart w:id="1015" w:name="Tc_1j0X_qaNCUKo9BYrkRBIwQ_2_5"/>
      <w:bookmarkStart w:id="1016" w:name="Tc_wTpUreKNgk6-LBTL0Zk66w_1_5"/>
      <w:bookmarkStart w:id="1017" w:name="Tc_ZXDOqAdtlE2ZjX8chWrp6g_1_2"/>
      <w:bookmarkStart w:id="1018" w:name="_4daebf7a_b855_4f0f_87b6_ff7114f635d5"/>
      <w:bookmarkStart w:id="1019" w:name="Tc_X-sKD4oWWUOYATHvnu1Ukg_9_11"/>
      <w:bookmarkStart w:id="1020" w:name="Tc_efo6FjHRvUWPH2s3rIv0Vw_9_9"/>
      <w:bookmarkStart w:id="1021" w:name="Tc__7rLpY2VUUKjJMPagMJzkw_9_8"/>
      <w:bookmarkStart w:id="1022" w:name="Tc_z1WbkIvt8EeC3Ol_77-M5A_9_6"/>
      <w:bookmarkStart w:id="1023" w:name="Tc_HfKnMMmivUaHW6CsoFOKgw_9_5"/>
      <w:bookmarkStart w:id="1024" w:name="Tc_0QZVCN2vDkSaoYdSszBJwA_9_2"/>
      <w:bookmarkStart w:id="1025" w:name="Tc_j_zfcTl8QESF3U0rnz9Pfg_9_0"/>
      <w:bookmarkStart w:id="1026" w:name="Tc_bk0CfxUtl0S7V9iJztWLaA_8_11"/>
      <w:bookmarkStart w:id="1027" w:name="Tc_Gnk43xdwW0eE8a03mlDc5A_8_9"/>
      <w:bookmarkStart w:id="1028" w:name="Tc_FFTa-k1frEWtC7Wko5LzjQ_8_8"/>
      <w:bookmarkStart w:id="1029" w:name="Tc_1QcH8-9VaUKewBVowZ8RXw_8_6"/>
      <w:bookmarkStart w:id="1030" w:name="Tc_pE_OfvIiOk652V35ChJMSQ_8_5"/>
      <w:bookmarkStart w:id="1031" w:name="Tc_P5bKN_XXek60SjeUOdkGxQ_8_2"/>
      <w:bookmarkStart w:id="1032" w:name="Tc_ydts4Fbd_EalkwTYwcQtNA_8_0"/>
      <w:bookmarkStart w:id="1033" w:name="Tc_95e1xch7TkSWU6j7vqZ1SA_7_11"/>
      <w:bookmarkStart w:id="1034" w:name="Tc_kLtABaXJgEKUiDVF6KH_ag_7_9"/>
      <w:bookmarkStart w:id="1035" w:name="Tc_jLXs1lI00EaszLmjsD8eKA_7_8"/>
      <w:bookmarkStart w:id="1036" w:name="Tc_PKSujqGc20i5oLu608LzlA_7_6"/>
      <w:bookmarkStart w:id="1037" w:name="Tc_r_Plqo9KIUqYbHXzdI2NhA_7_5"/>
      <w:bookmarkStart w:id="1038" w:name="Tc_sGtMq7Y7WkK8iceXomLTBA_7_2"/>
      <w:bookmarkStart w:id="1039" w:name="Tc_kzGHcH4whEuTeXQnSJ2gTg_7_0"/>
      <w:bookmarkStart w:id="1040" w:name="Tc_H6bf4_o-NEaLAi4NDbWgYw_6_11"/>
      <w:bookmarkStart w:id="1041" w:name="Tc_gPx6kV6Ch0mChssYBGwjMg_6_9"/>
      <w:bookmarkStart w:id="1042" w:name="Tc_FzjNdUNXMkqieeel_S7cxg_6_8"/>
      <w:bookmarkStart w:id="1043" w:name="Tc_bLUF5SX8REW-cTupVIjZ7Q_6_6"/>
      <w:bookmarkStart w:id="1044" w:name="Tc_Gj0Cyobdhkyh74Xu0SI9bQ_6_5"/>
      <w:bookmarkStart w:id="1045" w:name="Tc_NNWqhNs6XESSXzFttmHTyg_6_2"/>
      <w:bookmarkStart w:id="1046" w:name="Tc_4unWrVuCfkq6upe0yO-_eA_6_0"/>
      <w:bookmarkStart w:id="1047" w:name="Tc_Ed6OQAiLzk-oKS2mDo3cog_5_12"/>
      <w:bookmarkStart w:id="1048" w:name="Tc_QOvuyfM1C0Ce5gI6E2rwcg_5_11"/>
      <w:bookmarkStart w:id="1049" w:name="Tc_c-FKOlTN2Ui-iMIr6PQmdg_5_9"/>
      <w:bookmarkStart w:id="1050" w:name="Tc_96F5cJRuAE67JuSHhrX61A_5_8"/>
      <w:bookmarkStart w:id="1051" w:name="Tc_iYZdAGpwmUe7pHO0-qFlhw_5_5"/>
      <w:bookmarkStart w:id="1052" w:name="Tc_BBZbqCpYCUyPkXA1ieijXg_5_2"/>
      <w:bookmarkStart w:id="1053" w:name="Tc_ICLOSiYgsUaDS9Clh_Y3wA_5_0"/>
      <w:bookmarkStart w:id="1054" w:name="Tc_Cb1foehvukKGHtlgI65kSw_4_11"/>
      <w:bookmarkStart w:id="1055" w:name="Tc_0vXOaTrQAU25RxB5r3jYyw_4_8"/>
      <w:bookmarkStart w:id="1056" w:name="Tc_XgcfIomzX0WT9o0TVUjnnw_4_5"/>
      <w:bookmarkStart w:id="1057" w:name="Tc_5f1HFUN1XEmLAYdeQ1TyqA_4_2"/>
      <w:bookmarkStart w:id="1058" w:name="Tc_a5FTr_GxB0aoAGDMv8SkUw_4_0"/>
      <w:bookmarkStart w:id="1059" w:name="Tc_jzdYOvCgzEOJAqyMHllGYw_3_11"/>
      <w:bookmarkStart w:id="1060" w:name="Tc_H-kxQYVD1kOZYXTG5ac--w_3_8"/>
      <w:bookmarkStart w:id="1061" w:name="Tc_MJAe8lHiN0e0Pt3iHWuGaQ_3_5"/>
      <w:bookmarkStart w:id="1062" w:name="Tc_FTvXujd3vUavwKXqjWCJqA_3_2"/>
      <w:bookmarkStart w:id="1063" w:name="Tc_nLBkICIKFkqwHmzjEQk2Tg_2_11"/>
      <w:bookmarkStart w:id="1064" w:name="Tc_5sVnTmMQzkuxjpYZMJ9-HA_2_8"/>
      <w:bookmarkStart w:id="1065" w:name="Tc_88H0Hgh3L0GXBKmRObnA4Q_2_5"/>
      <w:bookmarkStart w:id="1066" w:name="Tc_80H56s3SfEKKMA_Lj3I92A_1_5"/>
      <w:bookmarkStart w:id="1067" w:name="Tc_67goHoGjeEOpixqr3OBxFg_1_2"/>
      <w:bookmarkStart w:id="1068" w:name="_1e968550_0c57_4ded_92e9_e7c7159a52a8"/>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Pr>
          <w:rFonts w:ascii="Times New Roman;Times;serif" w:hAnsi="Times New Roman;Times;serif"/>
          <w:sz w:val="20"/>
        </w:rPr>
        <w:t>The table below represents the values of the Company's financial assets and liabilities that are required to be measured at fair value on a recurring basis (in thousands):</w:t>
      </w:r>
    </w:p>
    <w:tbl>
      <w:tblPr>
        <w:tblW w:w="10205" w:type="dxa"/>
        <w:jc w:val="left"/>
        <w:tblInd w:w="0" w:type="dxa"/>
        <w:tblLayout w:type="fixed"/>
        <w:tblCellMar>
          <w:top w:w="0" w:type="dxa"/>
          <w:left w:w="0" w:type="dxa"/>
          <w:bottom w:w="0" w:type="dxa"/>
          <w:right w:w="0" w:type="dxa"/>
        </w:tblCellMar>
      </w:tblPr>
      <w:tblGrid>
        <w:gridCol w:w="2566"/>
        <w:gridCol w:w="346"/>
        <w:gridCol w:w="352"/>
        <w:gridCol w:w="1483"/>
        <w:gridCol w:w="346"/>
        <w:gridCol w:w="328"/>
        <w:gridCol w:w="1059"/>
        <w:gridCol w:w="346"/>
        <w:gridCol w:w="528"/>
        <w:gridCol w:w="859"/>
        <w:gridCol w:w="346"/>
        <w:gridCol w:w="315"/>
        <w:gridCol w:w="133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29410" cy="175260"/>
                      <wp:effectExtent l="0" t="0" r="0" b="0"/>
                      <wp:wrapNone/>
                      <wp:docPr id="77" name="Frame77"/>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3520" cy="175260"/>
                      <wp:effectExtent l="0" t="0" r="0" b="0"/>
                      <wp:wrapNone/>
                      <wp:docPr id="79" name="Frame79"/>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41705" cy="175260"/>
                      <wp:effectExtent l="0" t="0" r="0" b="0"/>
                      <wp:wrapNone/>
                      <wp:docPr id="80" name="Frame80"/>
                      <a:graphic xmlns:a="http://schemas.openxmlformats.org/drawingml/2006/main">
                        <a:graphicData uri="http://schemas.microsoft.com/office/word/2010/wordprocessingShape">
                          <wps:wsp>
                            <wps:cNvSpPr txBox="1"/>
                            <wps:spPr>
                              <a:xfrm>
                                <a:off x="0" y="0"/>
                                <a:ext cx="941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8280" cy="175260"/>
                      <wp:effectExtent l="0" t="0" r="0" b="0"/>
                      <wp:wrapNone/>
                      <wp:docPr id="82" name="Frame8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72465" cy="175260"/>
                      <wp:effectExtent l="0" t="0" r="0" b="0"/>
                      <wp:wrapNone/>
                      <wp:docPr id="83" name="Frame83"/>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35280" cy="175260"/>
                      <wp:effectExtent l="0" t="0" r="0" b="0"/>
                      <wp:wrapNone/>
                      <wp:docPr id="85" name="Frame85"/>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45465" cy="175260"/>
                      <wp:effectExtent l="0" t="0" r="0" b="0"/>
                      <wp:wrapNone/>
                      <wp:docPr id="86" name="Frame8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0025" cy="175260"/>
                      <wp:effectExtent l="0" t="0" r="0" b="0"/>
                      <wp:wrapNone/>
                      <wp:docPr id="88" name="Frame88"/>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45185" cy="175260"/>
                      <wp:effectExtent l="0" t="0" r="0" b="0"/>
                      <wp:wrapNone/>
                      <wp:docPr id="89" name="Frame89"/>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Financial Asset (Liability)</w:t>
            </w:r>
          </w:p>
        </w:tc>
        <w:tc>
          <w:tcPr>
            <w:tcW w:w="346" w:type="dxa"/>
            <w:tcBorders/>
            <w:vAlign w:val="center"/>
          </w:tcPr>
          <w:p>
            <w:pPr>
              <w:pStyle w:val="TableContents"/>
              <w:bidi w:val="0"/>
              <w:spacing w:before="0" w:after="0"/>
              <w:ind w:left="0" w:right="0" w:hanging="0"/>
              <w:jc w:val="left"/>
              <w:rPr/>
            </w:pPr>
            <w:r>
              <w:rPr/>
              <w:t>​</w:t>
            </w:r>
          </w:p>
        </w:tc>
        <w:tc>
          <w:tcPr>
            <w:tcW w:w="51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Fair Value Measurement Using:</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2" w:type="dxa"/>
            <w:tcBorders/>
            <w:vAlign w:val="center"/>
          </w:tcPr>
          <w:p>
            <w:pPr>
              <w:pStyle w:val="TableContents"/>
              <w:bidi w:val="0"/>
              <w:spacing w:before="0" w:after="0"/>
              <w:ind w:left="0" w:right="0" w:hanging="0"/>
              <w:jc w:val="left"/>
              <w:rPr/>
            </w:pPr>
            <w:r>
              <w:rPr/>
              <w:t>​</w:t>
            </w:r>
          </w:p>
        </w:tc>
        <w:tc>
          <w:tcPr>
            <w:tcW w:w="14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Significant</w:t>
            </w:r>
          </w:p>
        </w:tc>
        <w:tc>
          <w:tcPr>
            <w:tcW w:w="346" w:type="dxa"/>
            <w:tcBorders/>
            <w:vAlign w:val="center"/>
          </w:tcPr>
          <w:p>
            <w:pPr>
              <w:pStyle w:val="TableContents"/>
              <w:bidi w:val="0"/>
              <w:spacing w:before="0" w:after="0"/>
              <w:ind w:left="0" w:right="0" w:hanging="0"/>
              <w:jc w:val="left"/>
              <w:rPr/>
            </w:pPr>
            <w:r>
              <w:rPr/>
              <w:t>  ​ ​ ​</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Significant Other</w:t>
            </w:r>
          </w:p>
        </w:tc>
        <w:tc>
          <w:tcPr>
            <w:tcW w:w="346" w:type="dxa"/>
            <w:tcBorders/>
            <w:vAlign w:val="center"/>
          </w:tcPr>
          <w:p>
            <w:pPr>
              <w:pStyle w:val="TableContents"/>
              <w:bidi w:val="0"/>
              <w:spacing w:before="0" w:after="0"/>
              <w:ind w:left="0" w:right="0" w:hanging="0"/>
              <w:jc w:val="left"/>
              <w:rPr/>
            </w:pPr>
            <w:r>
              <w:rPr/>
              <w:t>  ​ ​ ​</w:t>
            </w:r>
          </w:p>
        </w:tc>
        <w:tc>
          <w:tcPr>
            <w:tcW w:w="1646"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Significant</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5"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June 30, </w:t>
            </w:r>
          </w:p>
        </w:tc>
        <w:tc>
          <w:tcPr>
            <w:tcW w:w="346" w:type="dxa"/>
            <w:tcBorders/>
            <w:vAlign w:val="center"/>
          </w:tcPr>
          <w:p>
            <w:pPr>
              <w:pStyle w:val="TableContents"/>
              <w:bidi w:val="0"/>
              <w:spacing w:before="0" w:after="0"/>
              <w:ind w:left="0" w:right="0" w:hanging="0"/>
              <w:jc w:val="left"/>
              <w:rPr/>
            </w:pPr>
            <w:r>
              <w:rPr/>
              <w:t>​</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Observable Inputs</w:t>
            </w:r>
          </w:p>
        </w:tc>
        <w:tc>
          <w:tcPr>
            <w:tcW w:w="346" w:type="dxa"/>
            <w:tcBorders/>
            <w:vAlign w:val="center"/>
          </w:tcPr>
          <w:p>
            <w:pPr>
              <w:pStyle w:val="TableContents"/>
              <w:bidi w:val="0"/>
              <w:spacing w:before="0" w:after="0"/>
              <w:ind w:left="0" w:right="0" w:hanging="0"/>
              <w:jc w:val="left"/>
              <w:rPr/>
            </w:pPr>
            <w:r>
              <w:rPr/>
              <w:t>​</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Observable Inputs</w:t>
            </w:r>
          </w:p>
        </w:tc>
        <w:tc>
          <w:tcPr>
            <w:tcW w:w="346" w:type="dxa"/>
            <w:tcBorders/>
            <w:vAlign w:val="center"/>
          </w:tcPr>
          <w:p>
            <w:pPr>
              <w:pStyle w:val="TableContents"/>
              <w:bidi w:val="0"/>
              <w:spacing w:before="0" w:after="0"/>
              <w:ind w:left="0" w:right="0" w:hanging="0"/>
              <w:jc w:val="left"/>
              <w:rPr/>
            </w:pPr>
            <w:r>
              <w:rPr/>
              <w:t>​</w:t>
            </w:r>
          </w:p>
        </w:tc>
        <w:tc>
          <w:tcPr>
            <w:tcW w:w="1646"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Unobservable Inputs</w:t>
            </w:r>
          </w:p>
        </w:tc>
      </w:tr>
      <w:tr>
        <w:trPr/>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Description</w:t>
            </w:r>
          </w:p>
        </w:tc>
        <w:tc>
          <w:tcPr>
            <w:tcW w:w="346" w:type="dxa"/>
            <w:tcBorders/>
            <w:vAlign w:val="center"/>
          </w:tcPr>
          <w:p>
            <w:pPr>
              <w:pStyle w:val="TableContents"/>
              <w:bidi w:val="0"/>
              <w:spacing w:before="0" w:after="0"/>
              <w:ind w:left="0" w:right="0" w:hanging="0"/>
              <w:jc w:val="left"/>
              <w:rPr/>
            </w:pPr>
            <w:r>
              <w:rPr/>
              <w:t>​</w:t>
            </w:r>
          </w:p>
        </w:tc>
        <w:tc>
          <w:tcPr>
            <w:tcW w:w="1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2026</w:t>
            </w:r>
          </w:p>
        </w:tc>
        <w:tc>
          <w:tcPr>
            <w:tcW w:w="346" w:type="dxa"/>
            <w:tcBorders/>
            <w:vAlign w:val="center"/>
          </w:tcPr>
          <w:p>
            <w:pPr>
              <w:pStyle w:val="TableContents"/>
              <w:bidi w:val="0"/>
              <w:spacing w:before="0" w:after="0"/>
              <w:ind w:left="0" w:right="0" w:hanging="0"/>
              <w:jc w:val="left"/>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(Level 1)</w:t>
            </w:r>
          </w:p>
        </w:tc>
        <w:tc>
          <w:tcPr>
            <w:tcW w:w="346" w:type="dxa"/>
            <w:tcBorders/>
            <w:vAlign w:val="center"/>
          </w:tcPr>
          <w:p>
            <w:pPr>
              <w:pStyle w:val="TableContents"/>
              <w:bidi w:val="0"/>
              <w:spacing w:before="0" w:after="0"/>
              <w:ind w:left="0" w:right="0" w:hanging="0"/>
              <w:jc w:val="center"/>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(Level 2)</w:t>
            </w:r>
          </w:p>
        </w:tc>
        <w:tc>
          <w:tcPr>
            <w:tcW w:w="346" w:type="dxa"/>
            <w:tcBorders/>
            <w:vAlign w:val="center"/>
          </w:tcPr>
          <w:p>
            <w:pPr>
              <w:pStyle w:val="TableContents"/>
              <w:bidi w:val="0"/>
              <w:spacing w:before="0" w:after="0"/>
              <w:ind w:left="0" w:right="0" w:hanging="0"/>
              <w:jc w:val="center"/>
              <w:rPr/>
            </w:pPr>
            <w:r>
              <w:rPr/>
              <w:t>​</w:t>
            </w:r>
          </w:p>
        </w:tc>
        <w:tc>
          <w:tcPr>
            <w:tcW w:w="1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(Level 3)</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4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97,147</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97,147</w:t>
            </w:r>
          </w:p>
        </w:tc>
        <w:tc>
          <w:tcPr>
            <w:tcW w:w="34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331" w:type="dxa"/>
            <w:tcBorders/>
            <w:shd w:fill="CCEEFF" w:val="clear"/>
            <w:vAlign w:val="center"/>
          </w:tcPr>
          <w:p>
            <w:pPr>
              <w:pStyle w:val="TableContents"/>
              <w:bidi w:val="0"/>
              <w:spacing w:before="0" w:after="0"/>
              <w:ind w:left="0" w:right="0" w:hanging="0"/>
              <w:jc w:val="righ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forward instrument (Note 5)</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4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21,800</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21,800</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Royalty Notes (Note 12)</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4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(100,000)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Derivative liability (Note 5)</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4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(5,223)</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(5,223)</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option instrument (Note 5)</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4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(2,450)</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(2,450)</w:t>
            </w:r>
          </w:p>
        </w:tc>
      </w:tr>
    </w:tbl>
    <w:p>
      <w:pPr>
        <w:pStyle w:val="TextBody"/>
        <w:bidi w:val="0"/>
        <w:spacing w:before="0" w:after="0"/>
        <w:ind w:left="446" w:right="0" w:hanging="0"/>
        <w:jc w:val="both"/>
        <w:rPr/>
      </w:pPr>
      <w:r>
        <w:rPr/>
        <w:t>​</w:t>
      </w:r>
    </w:p>
    <w:p>
      <w:pPr>
        <w:pStyle w:val="TextBody"/>
        <w:bidi w:val="0"/>
        <w:spacing w:before="0" w:after="0"/>
        <w:ind w:left="446" w:right="0" w:hanging="0"/>
        <w:jc w:val="both"/>
        <w:rPr/>
      </w:pPr>
      <w:r>
        <w:rPr/>
        <w:t>​</w:t>
      </w:r>
    </w:p>
    <w:tbl>
      <w:tblPr>
        <w:tblW w:w="10117" w:type="dxa"/>
        <w:jc w:val="left"/>
        <w:tblInd w:w="0" w:type="dxa"/>
        <w:tblLayout w:type="fixed"/>
        <w:tblCellMar>
          <w:top w:w="0" w:type="dxa"/>
          <w:left w:w="0" w:type="dxa"/>
          <w:bottom w:w="0" w:type="dxa"/>
          <w:right w:w="0" w:type="dxa"/>
        </w:tblCellMar>
      </w:tblPr>
      <w:tblGrid>
        <w:gridCol w:w="1516"/>
        <w:gridCol w:w="346"/>
        <w:gridCol w:w="531"/>
        <w:gridCol w:w="1704"/>
        <w:gridCol w:w="346"/>
        <w:gridCol w:w="374"/>
        <w:gridCol w:w="1202"/>
        <w:gridCol w:w="346"/>
        <w:gridCol w:w="596"/>
        <w:gridCol w:w="980"/>
        <w:gridCol w:w="346"/>
        <w:gridCol w:w="581"/>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62660" cy="175260"/>
                      <wp:effectExtent l="0" t="0" r="0" b="0"/>
                      <wp:wrapNone/>
                      <wp:docPr id="90" name="Frame9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37185" cy="175260"/>
                      <wp:effectExtent l="0" t="0" r="0" b="0"/>
                      <wp:wrapNone/>
                      <wp:docPr id="92" name="Frame92"/>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082040" cy="175260"/>
                      <wp:effectExtent l="0" t="0" r="0" b="0"/>
                      <wp:wrapNone/>
                      <wp:docPr id="93" name="Frame93"/>
                      <a:graphic xmlns:a="http://schemas.openxmlformats.org/drawingml/2006/main">
                        <a:graphicData uri="http://schemas.microsoft.com/office/word/2010/wordprocessingShape">
                          <wps:wsp>
                            <wps:cNvSpPr txBox="1"/>
                            <wps:spPr>
                              <a:xfrm>
                                <a:off x="0" y="0"/>
                                <a:ext cx="1082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7490" cy="175260"/>
                      <wp:effectExtent l="0" t="0" r="0" b="0"/>
                      <wp:wrapNone/>
                      <wp:docPr id="95" name="Frame9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63270" cy="175260"/>
                      <wp:effectExtent l="0" t="0" r="0" b="0"/>
                      <wp:wrapNone/>
                      <wp:docPr id="96" name="Frame96"/>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78460" cy="175260"/>
                      <wp:effectExtent l="0" t="0" r="0" b="0"/>
                      <wp:wrapNone/>
                      <wp:docPr id="98" name="Frame98"/>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22300" cy="175260"/>
                      <wp:effectExtent l="0" t="0" r="0" b="0"/>
                      <wp:wrapNone/>
                      <wp:docPr id="99" name="Frame99"/>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8935" cy="175260"/>
                      <wp:effectExtent l="0" t="0" r="0" b="0"/>
                      <wp:wrapNone/>
                      <wp:docPr id="101" name="Frame101"/>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93115" cy="175260"/>
                      <wp:effectExtent l="0" t="0" r="0" b="0"/>
                      <wp:wrapNone/>
                      <wp:docPr id="102" name="Frame10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Financial Asset (Liability)</w:t>
            </w:r>
          </w:p>
        </w:tc>
        <w:tc>
          <w:tcPr>
            <w:tcW w:w="346" w:type="dxa"/>
            <w:tcBorders/>
            <w:vAlign w:val="center"/>
          </w:tcPr>
          <w:p>
            <w:pPr>
              <w:pStyle w:val="TableContents"/>
              <w:bidi w:val="0"/>
              <w:spacing w:before="0" w:after="0"/>
              <w:ind w:left="0" w:right="0" w:hanging="0"/>
              <w:jc w:val="left"/>
              <w:rPr/>
            </w:pPr>
            <w:r>
              <w:rPr/>
              <w:t>​</w:t>
            </w:r>
          </w:p>
        </w:tc>
        <w:tc>
          <w:tcPr>
            <w:tcW w:w="567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Fair Value Measurement Using:</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31" w:type="dxa"/>
            <w:tcBorders/>
            <w:vAlign w:val="center"/>
          </w:tcPr>
          <w:p>
            <w:pPr>
              <w:pStyle w:val="TableContents"/>
              <w:bidi w:val="0"/>
              <w:spacing w:before="0" w:after="0"/>
              <w:ind w:left="0" w:right="0" w:hanging="0"/>
              <w:jc w:val="center"/>
              <w:rPr/>
            </w:pPr>
            <w:r>
              <w:rPr/>
              <w:t>​</w:t>
            </w:r>
          </w:p>
        </w:tc>
        <w:tc>
          <w:tcPr>
            <w:tcW w:w="17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Significant</w:t>
            </w:r>
          </w:p>
        </w:tc>
        <w:tc>
          <w:tcPr>
            <w:tcW w:w="346" w:type="dxa"/>
            <w:tcBorders/>
            <w:vAlign w:val="center"/>
          </w:tcPr>
          <w:p>
            <w:pPr>
              <w:pStyle w:val="TableContents"/>
              <w:bidi w:val="0"/>
              <w:spacing w:before="0" w:after="0"/>
              <w:ind w:left="0" w:right="0" w:hanging="0"/>
              <w:jc w:val="center"/>
              <w:rPr/>
            </w:pPr>
            <w:r>
              <w:rPr/>
              <w:t>  ​ ​ ​</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Significant Other</w:t>
            </w:r>
          </w:p>
        </w:tc>
        <w:tc>
          <w:tcPr>
            <w:tcW w:w="346" w:type="dxa"/>
            <w:tcBorders/>
            <w:vAlign w:val="center"/>
          </w:tcPr>
          <w:p>
            <w:pPr>
              <w:pStyle w:val="TableContents"/>
              <w:bidi w:val="0"/>
              <w:spacing w:before="0" w:after="0"/>
              <w:ind w:left="0" w:right="0" w:hanging="0"/>
              <w:jc w:val="center"/>
              <w:rPr/>
            </w:pPr>
            <w:r>
              <w:rPr/>
              <w:t>  ​ ​ ​</w:t>
            </w:r>
          </w:p>
        </w:tc>
        <w:tc>
          <w:tcPr>
            <w:tcW w:w="1830"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Significant</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5"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December 31, </w:t>
            </w:r>
          </w:p>
        </w:tc>
        <w:tc>
          <w:tcPr>
            <w:tcW w:w="346" w:type="dxa"/>
            <w:tcBorders/>
            <w:vAlign w:val="center"/>
          </w:tcPr>
          <w:p>
            <w:pPr>
              <w:pStyle w:val="TableContents"/>
              <w:bidi w:val="0"/>
              <w:spacing w:before="0" w:after="0"/>
              <w:ind w:left="0" w:right="0" w:hanging="0"/>
              <w:jc w:val="left"/>
              <w:rPr/>
            </w:pPr>
            <w:r>
              <w:rPr/>
              <w:t>​</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Observable Inputs</w:t>
            </w:r>
          </w:p>
        </w:tc>
        <w:tc>
          <w:tcPr>
            <w:tcW w:w="346" w:type="dxa"/>
            <w:tcBorders/>
            <w:vAlign w:val="center"/>
          </w:tcPr>
          <w:p>
            <w:pPr>
              <w:pStyle w:val="TableContents"/>
              <w:bidi w:val="0"/>
              <w:spacing w:before="0" w:after="0"/>
              <w:ind w:left="0" w:right="0" w:hanging="0"/>
              <w:jc w:val="center"/>
              <w:rPr/>
            </w:pPr>
            <w:r>
              <w:rPr/>
              <w:t>​</w:t>
            </w:r>
          </w:p>
        </w:tc>
        <w:tc>
          <w:tcPr>
            <w:tcW w:w="1576"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Observable Inputs</w:t>
            </w:r>
          </w:p>
        </w:tc>
        <w:tc>
          <w:tcPr>
            <w:tcW w:w="346" w:type="dxa"/>
            <w:tcBorders/>
            <w:vAlign w:val="center"/>
          </w:tcPr>
          <w:p>
            <w:pPr>
              <w:pStyle w:val="TableContents"/>
              <w:bidi w:val="0"/>
              <w:spacing w:before="0" w:after="0"/>
              <w:ind w:left="0" w:right="0" w:hanging="0"/>
              <w:jc w:val="center"/>
              <w:rPr/>
            </w:pPr>
            <w:r>
              <w:rPr/>
              <w:t>​</w:t>
            </w:r>
          </w:p>
        </w:tc>
        <w:tc>
          <w:tcPr>
            <w:tcW w:w="1830" w:type="dxa"/>
            <w:gridSpan w:val="2"/>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Unobservable Inputs</w: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Description</w:t>
            </w:r>
          </w:p>
        </w:tc>
        <w:tc>
          <w:tcPr>
            <w:tcW w:w="346" w:type="dxa"/>
            <w:tcBorders/>
            <w:vAlign w:val="center"/>
          </w:tcPr>
          <w:p>
            <w:pPr>
              <w:pStyle w:val="TableContents"/>
              <w:bidi w:val="0"/>
              <w:spacing w:before="0" w:after="0"/>
              <w:ind w:left="0" w:right="0" w:hanging="0"/>
              <w:jc w:val="center"/>
              <w:rPr/>
            </w:pPr>
            <w:r>
              <w:rPr/>
              <w:t>​</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2025</w:t>
            </w:r>
          </w:p>
        </w:tc>
        <w:tc>
          <w:tcPr>
            <w:tcW w:w="346" w:type="dxa"/>
            <w:tcBorders/>
            <w:vAlign w:val="center"/>
          </w:tcPr>
          <w:p>
            <w:pPr>
              <w:pStyle w:val="TableContents"/>
              <w:bidi w:val="0"/>
              <w:spacing w:before="0" w:after="0"/>
              <w:ind w:left="0" w:right="0" w:hanging="0"/>
              <w:jc w:val="left"/>
              <w:rPr/>
            </w:pPr>
            <w:r>
              <w:rPr/>
              <w:t>​</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(Level 1)</w:t>
            </w:r>
          </w:p>
        </w:tc>
        <w:tc>
          <w:tcPr>
            <w:tcW w:w="346" w:type="dxa"/>
            <w:tcBorders/>
            <w:vAlign w:val="center"/>
          </w:tcPr>
          <w:p>
            <w:pPr>
              <w:pStyle w:val="TableContents"/>
              <w:bidi w:val="0"/>
              <w:spacing w:before="0" w:after="0"/>
              <w:ind w:left="0" w:right="0" w:hanging="0"/>
              <w:jc w:val="center"/>
              <w:rPr/>
            </w:pPr>
            <w:r>
              <w:rPr/>
              <w:t>​</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(Level 2)</w:t>
            </w:r>
          </w:p>
        </w:tc>
        <w:tc>
          <w:tcPr>
            <w:tcW w:w="346" w:type="dxa"/>
            <w:tcBorders/>
            <w:vAlign w:val="center"/>
          </w:tcPr>
          <w:p>
            <w:pPr>
              <w:pStyle w:val="TableContents"/>
              <w:bidi w:val="0"/>
              <w:spacing w:before="0" w:after="0"/>
              <w:ind w:left="0" w:right="0" w:hanging="0"/>
              <w:jc w:val="center"/>
              <w:rPr/>
            </w:pPr>
            <w:r>
              <w:rPr/>
              <w:t>​</w:t>
            </w:r>
          </w:p>
        </w:tc>
        <w:tc>
          <w:tcPr>
            <w:tcW w:w="1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(Level 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70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60,253</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60,253</w:t>
            </w:r>
          </w:p>
        </w:tc>
        <w:tc>
          <w:tcPr>
            <w:tcW w:w="346"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49"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446" w:right="0" w:hanging="0"/>
        <w:jc w:val="both"/>
        <w:rPr/>
      </w:pPr>
      <w:r>
        <w:rPr/>
        <w:t>​</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The Company's Level 3 financial instruments consist of the Royalty Notes, the contingent forward instrument, the equity option instrument and the derivative liability. These instruments are classified within Level 3 of the fair value hierarchy because their fair values are determined using valuation techniques that incorporate significant unobservable inputs. Depending on changes in the underlying assumptions and market conditions, the contingent forward and equity option instruments may be presented as either assets or liabilities in the accompanying condensed consolidated balance sheets.</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 xml:space="preserve">The following table summarizes the valuation techniques and significant unobservable inputs used to estimate fair value: </w:t>
      </w:r>
    </w:p>
    <w:p>
      <w:pPr>
        <w:pStyle w:val="TextBody"/>
        <w:bidi w:val="0"/>
        <w:spacing w:before="0" w:after="0"/>
        <w:ind w:left="0" w:right="0" w:hanging="0"/>
        <w:jc w:val="left"/>
        <w:rPr/>
      </w:pPr>
      <w:r>
        <w:rPr/>
        <w:t>​</w:t>
      </w:r>
    </w:p>
    <w:tbl>
      <w:tblPr>
        <w:tblW w:w="9190" w:type="dxa"/>
        <w:jc w:val="left"/>
        <w:tblInd w:w="0" w:type="dxa"/>
        <w:tblLayout w:type="fixed"/>
        <w:tblCellMar>
          <w:top w:w="0" w:type="dxa"/>
          <w:left w:w="0" w:type="dxa"/>
          <w:bottom w:w="0" w:type="dxa"/>
          <w:right w:w="0" w:type="dxa"/>
        </w:tblCellMar>
      </w:tblPr>
      <w:tblGrid>
        <w:gridCol w:w="2626"/>
        <w:gridCol w:w="109"/>
        <w:gridCol w:w="2056"/>
        <w:gridCol w:w="109"/>
        <w:gridCol w:w="2731"/>
        <w:gridCol w:w="346"/>
        <w:gridCol w:w="121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667510" cy="175260"/>
                      <wp:effectExtent l="0" t="0" r="0" b="0"/>
                      <wp:wrapNone/>
                      <wp:docPr id="103" name="Frame10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05560" cy="175260"/>
                      <wp:effectExtent l="0" t="0" r="0" b="0"/>
                      <wp:wrapNone/>
                      <wp:docPr id="105" name="Frame10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34185" cy="175260"/>
                      <wp:effectExtent l="0" t="0" r="0" b="0"/>
                      <wp:wrapNone/>
                      <wp:docPr id="107" name="Frame107"/>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70255" cy="175260"/>
                      <wp:effectExtent l="0" t="0" r="0" b="0"/>
                      <wp:wrapNone/>
                      <wp:docPr id="109" name="Frame109"/>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Instrument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Valuation Technique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Significant Unobservable Input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forward instrument</w:t>
            </w:r>
          </w:p>
        </w:tc>
        <w:tc>
          <w:tcPr>
            <w:tcW w:w="109"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109" w:type="dxa"/>
            <w:tcBorders/>
            <w:shd w:fill="CCEEFF" w:val="clear"/>
            <w:vAlign w:val="center"/>
          </w:tcPr>
          <w:p>
            <w:pPr>
              <w:pStyle w:val="TableContents"/>
              <w:bidi w:val="0"/>
              <w:spacing w:before="0" w:after="0"/>
              <w:ind w:left="0" w:right="0" w:hanging="0"/>
              <w:jc w:val="left"/>
              <w:rPr/>
            </w:pPr>
            <w:r>
              <w:rPr/>
              <w:t>​</w:t>
            </w:r>
          </w:p>
        </w:tc>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br/>
              <w:t>Expected term</w:t>
              <w:br/>
              <w:t>Discount rate</w:t>
            </w:r>
          </w:p>
        </w:tc>
        <w:tc>
          <w:tcPr>
            <w:tcW w:w="346"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br/>
              <w:t>1 year</w:t>
              <w:br/>
              <w:t>3.6% - 6.0%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Notes</w:t>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Scenario-based analysis</w:t>
            </w:r>
          </w:p>
        </w:tc>
        <w:tc>
          <w:tcPr>
            <w:tcW w:w="109" w:type="dxa"/>
            <w:tcBorders/>
            <w:vAlign w:val="center"/>
          </w:tcPr>
          <w:p>
            <w:pPr>
              <w:pStyle w:val="TableContents"/>
              <w:bidi w:val="0"/>
              <w:spacing w:before="0" w:after="0"/>
              <w:ind w:left="0" w:right="0" w:hanging="0"/>
              <w:jc w:val="left"/>
              <w:rPr/>
            </w:pPr>
            <w:r>
              <w:rPr/>
              <w:t>​</w:t>
            </w:r>
          </w:p>
        </w:tc>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109" w:type="dxa"/>
            <w:tcBorders/>
            <w:shd w:fill="CCEEFF" w:val="clear"/>
            <w:vAlign w:val="center"/>
          </w:tcPr>
          <w:p>
            <w:pPr>
              <w:pStyle w:val="TableContents"/>
              <w:bidi w:val="0"/>
              <w:spacing w:before="0" w:after="0"/>
              <w:ind w:left="0" w:right="0" w:hanging="0"/>
              <w:jc w:val="left"/>
              <w:rPr/>
            </w:pPr>
            <w:r>
              <w:rPr/>
              <w:t>​</w:t>
            </w:r>
          </w:p>
        </w:tc>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br/>
              <w:t>Risk-free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br/>
              <w:t>4.1%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option instrument</w:t>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109" w:type="dxa"/>
            <w:tcBorders/>
            <w:vAlign w:val="center"/>
          </w:tcPr>
          <w:p>
            <w:pPr>
              <w:pStyle w:val="TableContents"/>
              <w:bidi w:val="0"/>
              <w:spacing w:before="0" w:after="0"/>
              <w:ind w:left="0" w:right="0" w:hanging="0"/>
              <w:jc w:val="left"/>
              <w:rPr/>
            </w:pPr>
            <w:r>
              <w:rPr/>
              <w:t>​</w:t>
            </w:r>
          </w:p>
        </w:tc>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br/>
              <w:t>Expected term</w:t>
              <w:br/>
              <w:t>Discount rate</w:t>
            </w:r>
          </w:p>
        </w:tc>
        <w:tc>
          <w:tcPr>
            <w:tcW w:w="34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47.5%</w:t>
              <w:br/>
              <w:t>2 years</w:t>
              <w:br/>
              <w:t>3.6% - 6.1%</w:t>
            </w:r>
          </w:p>
        </w:tc>
      </w:tr>
    </w:tbl>
    <w:p>
      <w:pPr>
        <w:pStyle w:val="TextBody"/>
        <w:bidi w:val="0"/>
        <w:spacing w:before="0" w:after="0"/>
        <w:ind w:left="0" w:right="0" w:hanging="0"/>
        <w:jc w:val="left"/>
        <w:rPr/>
      </w:pPr>
      <w:r>
        <w:rPr/>
        <w:t>​</w:t>
      </w:r>
    </w:p>
    <w:p>
      <w:pPr>
        <w:pStyle w:val="TextBody"/>
        <w:bidi w:val="0"/>
        <w:spacing w:before="0" w:after="240"/>
        <w:ind w:left="446" w:right="0" w:hanging="0"/>
        <w:jc w:val="both"/>
        <w:rPr/>
      </w:pPr>
      <w:r>
        <w:rPr/>
        <w:t>​</w:t>
      </w:r>
      <w:r>
        <w:rPr>
          <w:rFonts w:ascii="Times New Roman;Times;serif" w:hAnsi="Times New Roman;Times;serif"/>
          <w:sz w:val="20"/>
        </w:rPr>
        <w:br/>
        <w:t>The fair value of the Royalty Notes outstanding at June 30, 2026 equaled the transaction price upon initial recognition. Accordingly, no significant valuation adjustments were required at inception. Subsequent reporting periods will reflect fair value measurements based on the valuation techniques and assumptions described above.</w:t>
      </w:r>
    </w:p>
    <w:p>
      <w:pPr>
        <w:pStyle w:val="TextBody"/>
        <w:bidi w:val="0"/>
        <w:spacing w:before="0" w:after="0"/>
        <w:ind w:left="446" w:right="0" w:hanging="0"/>
        <w:jc w:val="both"/>
        <w:rPr>
          <w:rFonts w:ascii="Times New Roman;Times;serif" w:hAnsi="Times New Roman;Times;serif"/>
          <w:sz w:val="20"/>
        </w:rPr>
      </w:pPr>
      <w:r>
        <w:rPr>
          <w:rFonts w:ascii="Times New Roman;Times;serif" w:hAnsi="Times New Roman;Times;serif"/>
          <w:sz w:val="20"/>
        </w:rPr>
        <w:t xml:space="preserve">Significant increases in expected future royalty cash flows would generally increase the fair value of the Royalty Notes, while increases in the discount rate would generally decrease its fair value. The fair values of the contingent forward instrument and option instrument are primarily affected by changes in expected share price volatility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46" w:right="0" w:hanging="0"/>
        <w:jc w:val="both"/>
        <w:rPr>
          <w:rFonts w:ascii="Times New Roman;Times;serif" w:hAnsi="Times New Roman;Times;serif"/>
          <w:sz w:val="20"/>
        </w:rPr>
      </w:pPr>
      <w:bookmarkStart w:id="1069" w:name="Tc_ATUMFlAnQ0G8Od4o-lx7hg_7_5"/>
      <w:bookmarkStart w:id="1070" w:name="Tc_gYaXzIzR4kyOeKpnSaM2Lg_7_2"/>
      <w:bookmarkStart w:id="1071" w:name="Tc_dkahmJLH_UqFjfOXIHrm1A_7_0"/>
      <w:bookmarkStart w:id="1072" w:name="Tc_eavwDccpC0m5c-lS5-OO9Q_6_0"/>
      <w:bookmarkStart w:id="1073" w:name="Tc_SB2HBe2wSUmUosPDi4AvhA_5_0"/>
      <w:bookmarkStart w:id="1074" w:name="Tc_c8zR62bWhECu0J__YQxS_g_4_3"/>
      <w:bookmarkStart w:id="1075" w:name="Tc_ULCZlf7kSEuweOVohglLXA_4_0"/>
      <w:bookmarkStart w:id="1076" w:name="Tc_EIlYchxCCUOckBodd_YuWg_3_5"/>
      <w:bookmarkStart w:id="1077" w:name="Tc_ZxfRjuE3BEe-bu0xbieobQ_3_2"/>
      <w:bookmarkStart w:id="1078" w:name="Tc_8jdcX5sHRE2za4nJ4YKAgw_3_0"/>
      <w:bookmarkStart w:id="1079" w:name="Tc_7b4nRYWCpESCzxV7vLA6wA_2_5"/>
      <w:bookmarkStart w:id="1080" w:name="Tc_6D4hIK2PlEm3qaXcR-Ctqw_2_2"/>
      <w:bookmarkStart w:id="1081" w:name="Tc_lLZZTFlF8kOUvApOvKMrwQ_1_2"/>
      <w:bookmarkStart w:id="1082" w:name="_9fac7fad_5c0b_4f76_be84_0e6fdbfdd851"/>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rPr>
          <w:rFonts w:ascii="Times New Roman;Times;serif" w:hAnsi="Times New Roman;Times;serif"/>
          <w:sz w:val="20"/>
        </w:rPr>
        <w:t>where applicable, the probability of contingent settlement events. Changes in these assumptions may increase or decrease the fair values of the instruments and the related gains or losses recognized in earnings.</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In addition to the financial instruments mentioned above, at June 30, 2026, the Company's financial instruments included cash and cash equivalents, restricted cash, accounts receivable, accounts receivable – related party, unbilled receivables – related party and accounts payable. The carrying amounts reported in the Company's condensed consolidated financial statements for these instruments approximate their respective fair values because of the short-term nature of these instruments.</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Asset Retirement Obligations</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Accounting for asset retirement obligations requires legal obligations associated with the retirement of long-lived assets to be recognized at fair value when incurred and capitalized as part of the related long-lived asset. In the absence of quoted market prices, the Company estimates the fair value of its asset retirement obligations using Level 3 present value techniques, in which estimates of future cash flows associated with retirement activities are discounted using a credit-adjusted risk-free rate. Asset retirement obligations currently reported on the condensed consolidated balance sheets were measured during a period of historically low interest rates. The impact on measurements of new asset retirement obligations using different rates in the future may be significant.</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The Company uses estimates to determine the asset retirement obligations at the end of the lease term and discounts such asset retirement obligations using an estimated discount rate. Interest on the discounted asset retirement obligation is amortized over the term of the lease using the effective interest method and is recorded as interest expense in the condensed consolidated statements of operations and comprehensive income (loss).</w:t>
      </w:r>
    </w:p>
    <w:p>
      <w:pPr>
        <w:pStyle w:val="TextBody"/>
        <w:bidi w:val="0"/>
        <w:spacing w:before="0" w:after="200"/>
        <w:ind w:left="446"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determined that it was reasonably certain to exercise its early termination option on an operating lease for laboratory and office space, for which the Company had an associated asset retirement obligation liability in the amount of $1.7 million and a corresponding leasehold improvement with a net book value of $0.3 million as of March 31, 2025. At that time, the landlord indicated that it would no longer require the Company to make any changes to the premises prior to the lease termination and the Company only expected to incur $0.1 million related to decontamination costs. Therefore, a change in estimate of the asset retirement obligation was recorded resulting in a gain on termination of lease liabilities of $1.3 million which is included in general and administrative expenses in the accompanying condensed consolidated statements of operations and comprehensive income (loss) for the six-month period ended June 30, 2025. </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The change in asset retirement obligations is as follows (in thousands):</w:t>
      </w:r>
    </w:p>
    <w:p>
      <w:pPr>
        <w:pStyle w:val="TextBody"/>
        <w:bidi w:val="0"/>
        <w:spacing w:before="0" w:after="240"/>
        <w:ind w:left="490" w:right="0" w:hanging="0"/>
        <w:jc w:val="both"/>
        <w:rPr/>
      </w:pPr>
      <w:r>
        <w:rPr/>
        <w:t>​</w:t>
      </w:r>
    </w:p>
    <w:tbl>
      <w:tblPr>
        <w:tblW w:w="6736" w:type="dxa"/>
        <w:jc w:val="left"/>
        <w:tblInd w:w="0" w:type="dxa"/>
        <w:tblLayout w:type="fixed"/>
        <w:tblCellMar>
          <w:top w:w="0" w:type="dxa"/>
          <w:left w:w="0" w:type="dxa"/>
          <w:bottom w:w="0" w:type="dxa"/>
          <w:right w:w="0" w:type="dxa"/>
        </w:tblCellMar>
      </w:tblPr>
      <w:tblGrid>
        <w:gridCol w:w="2761"/>
        <w:gridCol w:w="346"/>
        <w:gridCol w:w="369"/>
        <w:gridCol w:w="999"/>
        <w:gridCol w:w="605"/>
        <w:gridCol w:w="369"/>
        <w:gridCol w:w="1287"/>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53235" cy="175260"/>
                      <wp:effectExtent l="0" t="0" r="0" b="0"/>
                      <wp:wrapNone/>
                      <wp:docPr id="110" name="Frame110"/>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34315" cy="175260"/>
                      <wp:effectExtent l="0" t="0" r="0" b="0"/>
                      <wp:wrapNone/>
                      <wp:docPr id="112" name="Frame112"/>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34365" cy="175260"/>
                      <wp:effectExtent l="0" t="0" r="0" b="0"/>
                      <wp:wrapNone/>
                      <wp:docPr id="113" name="Frame113"/>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84175" cy="175260"/>
                      <wp:effectExtent l="0" t="0" r="0" b="0"/>
                      <wp:wrapNone/>
                      <wp:docPr id="114" name="Frame114"/>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34315" cy="175260"/>
                      <wp:effectExtent l="0" t="0" r="0" b="0"/>
                      <wp:wrapNone/>
                      <wp:docPr id="115" name="Frame115"/>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17245" cy="175260"/>
                      <wp:effectExtent l="0" t="0" r="0" b="0"/>
                      <wp:wrapNone/>
                      <wp:docPr id="116" name="Frame116"/>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Six-Month Periods Ended June 30,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605" w:type="dxa"/>
            <w:tcBorders/>
            <w:vAlign w:val="center"/>
          </w:tcPr>
          <w:p>
            <w:pPr>
              <w:pStyle w:val="TableContents"/>
              <w:bidi w:val="0"/>
              <w:spacing w:before="0" w:after="1"/>
              <w:ind w:left="0" w:right="0" w:hanging="0"/>
              <w:jc w:val="center"/>
              <w:rPr/>
            </w:pPr>
            <w:r>
              <w:rPr/>
              <w:t>​</w:t>
            </w:r>
          </w:p>
        </w:tc>
        <w:tc>
          <w:tcPr>
            <w:tcW w:w="1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76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  ​ ​ ​</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605" w:type="dxa"/>
            <w:tcBorders/>
            <w:shd w:fill="CCEEFF" w:val="clear"/>
            <w:vAlign w:val="center"/>
          </w:tcPr>
          <w:p>
            <w:pPr>
              <w:pStyle w:val="TableContents"/>
              <w:bidi w:val="0"/>
              <w:spacing w:before="0" w:after="1"/>
              <w:ind w:left="0" w:right="0" w:hanging="0"/>
              <w:jc w:val="left"/>
              <w:rPr/>
            </w:pPr>
            <w:r>
              <w:rPr/>
              <w:t>  ​ ​ ​</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w:t>
            </w:r>
          </w:p>
        </w:tc>
      </w:tr>
      <w:tr>
        <w:trPr/>
        <w:tc>
          <w:tcPr>
            <w:tcW w:w="27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estimate</w:t>
            </w:r>
          </w:p>
        </w:tc>
        <w:tc>
          <w:tcPr>
            <w:tcW w:w="34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c>
          <w:tcPr>
            <w:tcW w:w="605"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r>
      <w:tr>
        <w:trPr/>
        <w:tc>
          <w:tcPr>
            <w:tcW w:w="276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Amortization of interest </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pPr>
            <w:r>
              <w:rPr/>
              <w:t> </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605"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pPr>
            <w:r>
              <w:rPr/>
              <w:t> </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7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Effects of exchange rate changes</w:t>
            </w:r>
          </w:p>
        </w:tc>
        <w:tc>
          <w:tcPr>
            <w:tcW w:w="346" w:type="dxa"/>
            <w:tcBorders/>
            <w:vAlign w:val="center"/>
          </w:tcPr>
          <w:p>
            <w:pPr>
              <w:pStyle w:val="TableContents"/>
              <w:bidi w:val="0"/>
              <w:spacing w:before="0" w:after="1"/>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605" w:type="dxa"/>
            <w:tcBorders/>
            <w:vAlign w:val="center"/>
          </w:tcPr>
          <w:p>
            <w:pPr>
              <w:pStyle w:val="TableContents"/>
              <w:bidi w:val="0"/>
              <w:spacing w:before="0" w:after="1"/>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276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w:t>
            </w:r>
          </w:p>
        </w:tc>
        <w:tc>
          <w:tcPr>
            <w:tcW w:w="605" w:type="dxa"/>
            <w:tcBorders/>
            <w:shd w:fill="CCEEFF" w:val="clear"/>
            <w:vAlign w:val="center"/>
          </w:tcPr>
          <w:p>
            <w:pPr>
              <w:pStyle w:val="TableContents"/>
              <w:bidi w:val="0"/>
              <w:spacing w:before="0" w:after="1"/>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1,454</w:t>
            </w:r>
          </w:p>
        </w:tc>
      </w:tr>
    </w:tbl>
    <w:p>
      <w:pPr>
        <w:pStyle w:val="TextBody"/>
        <w:bidi w:val="0"/>
        <w:spacing w:before="0" w:after="240"/>
        <w:ind w:left="0" w:right="0" w:hanging="0"/>
        <w:jc w:val="both"/>
        <w:rPr/>
      </w:pPr>
      <w:r>
        <w:rPr/>
        <w:t>​</w:t>
      </w:r>
    </w:p>
    <w:p>
      <w:pPr>
        <w:pStyle w:val="TextBody"/>
        <w:bidi w:val="0"/>
        <w:spacing w:before="0" w:after="160"/>
        <w:ind w:left="490" w:right="0" w:hanging="0"/>
        <w:jc w:val="left"/>
        <w:rPr>
          <w:rFonts w:ascii="Times New Roman;Times;serif" w:hAnsi="Times New Roman;Times;serif"/>
          <w:b/>
          <w:i/>
          <w:sz w:val="20"/>
        </w:rPr>
      </w:pPr>
      <w:r>
        <w:rPr>
          <w:rFonts w:ascii="Times New Roman;Times;serif" w:hAnsi="Times New Roman;Times;serif"/>
          <w:b/>
          <w:i/>
          <w:sz w:val="20"/>
        </w:rPr>
        <w:t>IDA Ireland Grant</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 xml:space="preserve">In August 2021, MeiraGTx Ireland entered into an agreement pursuant to which it received a grant from IDA Ireland for financial assistance in establishing its operations in Shannon, Ireland. Under the terms of the grant, MeiraGTx Ireland is eligible to receive the lesser of €1.0 million or €10,000 for each job created (the “employment grant”) and the lesser of €1.2 million or 4% of the actual expenditure on the provision of machinery and equipment (the “capital grant”). MeiraGTx Ireland may apply for a drawdown of the employment grant once a job has been created and the position has been held for a period of at least one month, and may apply for a drawdown of the capital grant once an eligible asset has been purchased and installed, conditioned on the creation of a cumulative number of jobs by the end of the immediately preceding year. An aggregate of 100 jobs must be created to receive the maximum benefit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490" w:right="0" w:hanging="0"/>
        <w:jc w:val="both"/>
        <w:rPr>
          <w:rFonts w:ascii="Times New Roman;Times;serif" w:hAnsi="Times New Roman;Times;serif"/>
          <w:sz w:val="20"/>
        </w:rPr>
      </w:pPr>
      <w:r>
        <w:rPr>
          <w:rFonts w:ascii="Times New Roman;Times;serif" w:hAnsi="Times New Roman;Times;serif"/>
          <w:sz w:val="20"/>
        </w:rPr>
        <w:t>under the capital grant. An application for a drawdown must be accompanied by an audit certification for compliance with the terms of the grant. The Company has a guarantee in place with a bank in favor of IDA Ireland, pursuant to which it restricts cash in the amount of claims made under the grant such that the Company maintains the funds to cover any portion of the grant income that may become repayable in the future. This amount is presented as restricted cash in the accompanying condensed consolidated balance sheets. All expenditures were required to be completed by December 31, 2024, and the agreement terminates on the later of five years from the date of the last payment from the grant or five years from completion of the capital investment, which is expenditure of at least €30.0 million on eligible machinery and equipment.</w:t>
      </w:r>
    </w:p>
    <w:p>
      <w:pPr>
        <w:pStyle w:val="TextBody"/>
        <w:bidi w:val="0"/>
        <w:spacing w:before="0" w:after="160"/>
        <w:ind w:left="490" w:right="0" w:hanging="0"/>
        <w:jc w:val="both"/>
        <w:rPr>
          <w:rFonts w:ascii="Times New Roman;Times;serif" w:hAnsi="Times New Roman;Times;serif"/>
          <w:sz w:val="20"/>
        </w:rPr>
      </w:pPr>
      <w:r>
        <w:rPr>
          <w:rFonts w:ascii="Times New Roman;Times;serif" w:hAnsi="Times New Roman;Times;serif"/>
          <w:sz w:val="20"/>
        </w:rPr>
        <w:t>The Company recognizes grant income when there is reasonable assurance that the Company will comply with the conditions attached to the grant and that it will receive the grant. During the six months ended June 30, 2026 and 2025, the Company recognized de minimis grant income as a reduction of research and development expenses in the accompanying condensed consolidated statements of operations and comprehensive income (loss).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 xml:space="preserve">Until the termination of the grant agreement in September 2030, MeiraGTx Ireland must maintain compliance with the terms of the grant. If the total number of jobs is less than 100 at the time of IDA Ireland’s annual review, the Company may have to repay a portion of the capital grant, and if a job for which the Company received employment grant funding remains vacant for a period in excess of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calendar months, the Company may have to repay the employment grant received for that job. As of June 30, 2026, the Company is in compliance with the terms of the grant.</w:t>
      </w:r>
    </w:p>
    <w:p>
      <w:pPr>
        <w:pStyle w:val="TextBody"/>
        <w:bidi w:val="0"/>
        <w:spacing w:before="0" w:after="180"/>
        <w:ind w:left="489"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80"/>
        <w:ind w:left="489" w:right="0" w:hanging="0"/>
        <w:jc w:val="both"/>
        <w:rPr>
          <w:rFonts w:ascii="Times New Roman;Times;serif" w:hAnsi="Times New Roman;Times;serif"/>
          <w:sz w:val="20"/>
        </w:rPr>
      </w:pPr>
      <w:r>
        <w:rPr>
          <w:rFonts w:ascii="Times New Roman;Times;serif" w:hAnsi="Times New Roman;Times;serif"/>
          <w:sz w:val="20"/>
        </w:rPr>
        <w:t>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pStyle w:val="TextBody"/>
        <w:bidi w:val="0"/>
        <w:spacing w:before="0" w:after="180"/>
        <w:ind w:left="489" w:right="0" w:hanging="0"/>
        <w:jc w:val="both"/>
        <w:rPr>
          <w:rFonts w:ascii="Times New Roman;Times;serif" w:hAnsi="Times New Roman;Times;serif"/>
          <w:sz w:val="20"/>
        </w:rPr>
      </w:pPr>
      <w:r>
        <w:rPr>
          <w:rFonts w:ascii="Times New Roman;Times;serif" w:hAnsi="Times New Roman;Times;serif"/>
          <w:sz w:val="20"/>
        </w:rPr>
        <w:t>When the Company concludes that a contract should be accounted for as a combined performance obligation and recognized over time, the Company must then determine the period over which revenue should be recognized and the method by which to measure revenue. The Company generally recognizes revenue using a cost-based input method.</w:t>
      </w:r>
    </w:p>
    <w:p>
      <w:pPr>
        <w:pStyle w:val="TextBody"/>
        <w:bidi w:val="0"/>
        <w:spacing w:before="0" w:after="180"/>
        <w:ind w:left="489" w:right="0" w:hanging="0"/>
        <w:jc w:val="both"/>
        <w:rPr>
          <w:rFonts w:ascii="Times New Roman;Times;serif" w:hAnsi="Times New Roman;Times;serif"/>
          <w:sz w:val="20"/>
        </w:rPr>
      </w:pPr>
      <w:r>
        <w:rPr>
          <w:rFonts w:ascii="Times New Roman;Times;serif" w:hAnsi="Times New Roman;Times;serif"/>
          <w:sz w:val="20"/>
        </w:rPr>
        <w:t>At inception, the Company determines whether contracts are within the scope of ASC 606 or other topics. For contracts that are determined to be within the scope of ASC 606, the Company recognizes revenue when its customer or collaborator obtains control of promised goods or services, in an amount that reflects the consideration which the Company expects to receive in exchange for those goods or services. To determine revenue recognition the Company performs the following five steps:</w:t>
      </w:r>
    </w:p>
    <w:tbl>
      <w:tblPr>
        <w:tblW w:w="3711" w:type="dxa"/>
        <w:jc w:val="left"/>
        <w:tblInd w:w="0" w:type="dxa"/>
        <w:tblLayout w:type="fixed"/>
        <w:tblCellMar>
          <w:top w:w="28" w:type="dxa"/>
          <w:left w:w="28" w:type="dxa"/>
          <w:bottom w:w="28" w:type="dxa"/>
          <w:right w:w="28" w:type="dxa"/>
        </w:tblCellMar>
      </w:tblPr>
      <w:tblGrid>
        <w:gridCol w:w="124"/>
        <w:gridCol w:w="211"/>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contract(s) with a customer;</w:t>
            </w:r>
          </w:p>
        </w:tc>
      </w:tr>
    </w:tbl>
    <w:tbl>
      <w:tblPr>
        <w:tblW w:w="4791" w:type="dxa"/>
        <w:jc w:val="left"/>
        <w:tblInd w:w="0" w:type="dxa"/>
        <w:tblLayout w:type="fixed"/>
        <w:tblCellMar>
          <w:top w:w="28" w:type="dxa"/>
          <w:left w:w="28" w:type="dxa"/>
          <w:bottom w:w="28" w:type="dxa"/>
          <w:right w:w="28" w:type="dxa"/>
        </w:tblCellMar>
      </w:tblPr>
      <w:tblGrid>
        <w:gridCol w:w="124"/>
        <w:gridCol w:w="271"/>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3171" w:type="dxa"/>
        <w:jc w:val="left"/>
        <w:tblInd w:w="0" w:type="dxa"/>
        <w:tblLayout w:type="fixed"/>
        <w:tblCellMar>
          <w:top w:w="28" w:type="dxa"/>
          <w:left w:w="28" w:type="dxa"/>
          <w:bottom w:w="28" w:type="dxa"/>
          <w:right w:w="28" w:type="dxa"/>
        </w:tblCellMar>
      </w:tblPr>
      <w:tblGrid>
        <w:gridCol w:w="124"/>
        <w:gridCol w:w="331"/>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bl>
    <w:tbl>
      <w:tblPr>
        <w:tblW w:w="7446" w:type="dxa"/>
        <w:jc w:val="left"/>
        <w:tblInd w:w="0" w:type="dxa"/>
        <w:tblLayout w:type="fixed"/>
        <w:tblCellMar>
          <w:top w:w="28" w:type="dxa"/>
          <w:left w:w="28" w:type="dxa"/>
          <w:bottom w:w="28" w:type="dxa"/>
          <w:right w:w="28" w:type="dxa"/>
        </w:tblCellMar>
      </w:tblPr>
      <w:tblGrid>
        <w:gridCol w:w="124"/>
        <w:gridCol w:w="31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within the contract; and</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entity satisfies a performance obligation.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490" w:right="0" w:hanging="0"/>
        <w:jc w:val="both"/>
        <w:rPr>
          <w:rFonts w:ascii="Times New Roman;Times;serif" w:hAnsi="Times New Roman;Times;serif"/>
          <w:sz w:val="20"/>
        </w:rPr>
      </w:pPr>
      <w:r>
        <w:rPr>
          <w:rFonts w:ascii="Times New Roman;Times;serif" w:hAnsi="Times New Roman;Times;serif"/>
          <w:sz w:val="20"/>
        </w:rPr>
        <w:t>The Company only applies the five-step model to contracts when it determines that it is probable it will collect the consideration it is entitled to in exchange for the goods or services it transfers to the customer.</w:t>
      </w:r>
    </w:p>
    <w:p>
      <w:pPr>
        <w:pStyle w:val="TextBody"/>
        <w:bidi w:val="0"/>
        <w:spacing w:before="0" w:after="180"/>
        <w:ind w:left="490" w:right="0" w:hanging="0"/>
        <w:jc w:val="both"/>
        <w:rPr>
          <w:rFonts w:ascii="Times New Roman;Times;serif" w:hAnsi="Times New Roman;Times;serif"/>
          <w:sz w:val="20"/>
        </w:rPr>
      </w:pPr>
      <w:r>
        <w:rPr>
          <w:rFonts w:ascii="Times New Roman;Times;serif" w:hAnsi="Times New Roman;Times;serif"/>
          <w:sz w:val="20"/>
        </w:rPr>
        <w:t>At contract inception,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 research, development and manufacturing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pStyle w:val="TextBody"/>
        <w:bidi w:val="0"/>
        <w:spacing w:before="0" w:after="200"/>
        <w:ind w:left="489" w:right="0" w:hanging="0"/>
        <w:jc w:val="both"/>
        <w:rPr>
          <w:rFonts w:ascii="Times New Roman;Times;serif" w:hAnsi="Times New Roman;Times;serif"/>
          <w:sz w:val="20"/>
        </w:rPr>
      </w:pPr>
      <w:r>
        <w:rPr>
          <w:rFonts w:ascii="Times New Roman;Times;serif" w:hAnsi="Times New Roman;Times;serif"/>
          <w:sz w:val="20"/>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pStyle w:val="TextBody"/>
        <w:bidi w:val="0"/>
        <w:spacing w:before="0" w:after="200"/>
        <w:ind w:left="489" w:right="0" w:hanging="0"/>
        <w:jc w:val="both"/>
        <w:rPr>
          <w:rFonts w:ascii="Times New Roman;Times;serif" w:hAnsi="Times New Roman;Times;serif"/>
          <w:sz w:val="20"/>
        </w:rPr>
      </w:pPr>
      <w:r>
        <w:rPr>
          <w:rFonts w:ascii="Times New Roman;Times;serif" w:hAnsi="Times New Roman;Times;serif"/>
          <w:sz w:val="20"/>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pStyle w:val="TextBody"/>
        <w:bidi w:val="0"/>
        <w:spacing w:before="0" w:after="200"/>
        <w:ind w:left="489" w:right="0" w:hanging="0"/>
        <w:jc w:val="both"/>
        <w:rPr>
          <w:rFonts w:ascii="Times New Roman;Times;serif" w:hAnsi="Times New Roman;Times;serif"/>
          <w:sz w:val="20"/>
        </w:rPr>
      </w:pPr>
      <w:r>
        <w:rPr>
          <w:rFonts w:ascii="Times New Roman;Times;serif" w:hAnsi="Times New Roman;Times;serif"/>
          <w:sz w:val="20"/>
        </w:rPr>
        <w:t>If there are multiple performance obligations, the Company allocates the transaction price to each performance obligation based on their estimated standalone selling prices (“SSP”). The Company estimates the SSP for each performance obligation by considering information such as market conditions, entity-specific factors, and information about its customer that is reasonably available. The Company considers estimation approaches that allow it to maximize the use of observable inputs. These estimation approaches may include the adjusted market assessment approach, the expected cost plus a margin approach or the residual approach. The Company also considers whether to use a different estimation approach or a combination of approaches to estimate the SSP for each performance obligation. Developing certain assumptions (e.g., treatable patient population, expected market share, probability of success and product profitability, and discount rate based on weighted-average cost of capital) to estimate the SSP of a performance obligation requires significant judgment.</w:t>
      </w:r>
    </w:p>
    <w:p>
      <w:pPr>
        <w:pStyle w:val="TextBody"/>
        <w:bidi w:val="0"/>
        <w:spacing w:before="0" w:after="200"/>
        <w:ind w:left="489" w:right="0" w:hanging="0"/>
        <w:jc w:val="both"/>
        <w:rPr>
          <w:rFonts w:ascii="Times New Roman;Times;serif" w:hAnsi="Times New Roman;Times;serif"/>
          <w:sz w:val="20"/>
        </w:rPr>
      </w:pPr>
      <w:r>
        <w:rPr>
          <w:rFonts w:ascii="Times New Roman;Times;serif" w:hAnsi="Times New Roman;Times;serif"/>
          <w:sz w:val="20"/>
        </w:rPr>
        <w:t>The Company records amounts as contract assets when the right to consideration is deemed unconditional. Contract assets are reclassified as accounts receivable once billed. When consideration is received, or such consideration is unconditionally due, from a customer prior to transferring goods or services to the customer under the terms of a contract, a contract liability is recorded as deferred revenue.</w:t>
      </w:r>
    </w:p>
    <w:p>
      <w:pPr>
        <w:pStyle w:val="TextBody"/>
        <w:bidi w:val="0"/>
        <w:spacing w:before="0" w:after="200"/>
        <w:ind w:left="489" w:right="0" w:hanging="0"/>
        <w:jc w:val="both"/>
        <w:rPr>
          <w:rFonts w:ascii="Times New Roman;Times;serif" w:hAnsi="Times New Roman;Times;serif"/>
          <w:sz w:val="20"/>
        </w:rPr>
      </w:pPr>
      <w:r>
        <w:rPr>
          <w:rFonts w:ascii="Times New Roman;Times;serif" w:hAnsi="Times New Roman;Times;serif"/>
          <w:sz w:val="20"/>
        </w:rPr>
        <w:t>Amounts received prior to satisfying the revenue recognition criteria are recognized as deferred revenue in the Company’s condensed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long-term deferred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The Company’s revenue arrangements include the following:</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Upfront License Fees: If a license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Milestone Payments: At the inception of an agreement that includes research and development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Royalties: For arrangements that include sales-based royalties, including milestone payments based on a level of 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Research and Development Services: Under certain collaboration arrangements, the Company performs research and development services, including process development, process performance qualification, analytical development and other development activities. These services are generally transferred over time as the customer simultaneously receives and consumes the benefits of the Company's performance. Revenue is recognized over time using a cost-based input method that measures progress toward complete satisfaction of the performance obligation based on costs incurred relative to total estimated costs expected to satisfy the performance obligation.</w:t>
      </w:r>
    </w:p>
    <w:p>
      <w:pPr>
        <w:pStyle w:val="TextBody"/>
        <w:pBdr/>
        <w:bidi w:val="0"/>
        <w:spacing w:before="0" w:after="240"/>
        <w:ind w:left="450" w:right="0" w:hanging="39"/>
        <w:jc w:val="both"/>
        <w:rPr>
          <w:rFonts w:ascii="Times New Roman;Times;serif" w:hAnsi="Times New Roman;Times;serif"/>
          <w:sz w:val="20"/>
        </w:rPr>
      </w:pPr>
      <w:r>
        <w:rPr>
          <w:rFonts w:ascii="Times New Roman;Times;serif" w:hAnsi="Times New Roman;Times;serif"/>
          <w:sz w:val="20"/>
        </w:rPr>
        <w:t>Contract Manufacturing Services: Under certain collaboration and manufacturing arrangements, the Company provides contract manufacturing services, including manufacturing of product, release testing, stability testing, preparation of batch and assay documentation, and delivery of manufactured product. The Company evaluates the activities included in each request for proposal or work order to determine whether they represent separate performance obligations or should be combined. Activities are combined into a single performance obligation when they are not separately identifiable within the context of the contract and together represent a combined output to the customer. Revenue is recognized over time as the Company performs the manufacturing services because control of the work in process transfers to the customer as the manufacturing activities are performed. Progress toward complete satisfaction of the performance obligation is measured using a cost-based input method, under which revenue is recognized based on costs incurred relative to total estimated costs expected to satisfy the performance obligation.</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Manufacturing Supply Services: Arrangements that include a promise for future supply of drug substance or drug product for either clinical development or commercial supply at the customer’s discretion are generally considered options. The Company assesses if these options provide a material right to the licensee and if so, they are accounted for as separate performance obligations at the outset of the arrangement.</w:t>
      </w:r>
    </w:p>
    <w:p>
      <w:pPr>
        <w:pStyle w:val="TextBody"/>
        <w:bidi w:val="0"/>
        <w:spacing w:before="0" w:after="0"/>
        <w:ind w:left="489" w:right="0" w:hanging="0"/>
        <w:jc w:val="both"/>
        <w:rPr>
          <w:rFonts w:ascii="Times New Roman;Times;serif" w:hAnsi="Times New Roman;Times;serif"/>
          <w:sz w:val="20"/>
        </w:rPr>
      </w:pPr>
      <w:r>
        <w:rPr>
          <w:rFonts w:ascii="Times New Roman;Times;serif" w:hAnsi="Times New Roman;Times;serif"/>
          <w:sz w:val="20"/>
        </w:rPr>
        <w:t xml:space="preserve">Customer Options: Customer options are evaluated at contract inception to determine whether those options provide a material right (i.e., an optional good or service offered for free or at a discount) to the customer. If the customer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pStyle w:val="TextBody"/>
        <w:bidi w:val="0"/>
        <w:spacing w:before="0" w:after="240"/>
        <w:ind w:left="489"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Research and development costs are charged to expense as incurred. These costs include, but are not limited to, employee-related expenses, including salaries, benefits and travel of the Company’s research and development personnel; expenses incurred under agreements with contract research organizations and investigative sites that conduct clinical and preclinical studies and for the drug product for the clinical studies and preclinical activities; facilities; supplies; rent, insurance, certain legal fees, share-based compensation, depreciation and other costs associated with clinical and preclinical activities and regulatory operations. Research funding under collaboration agreements and refundable research and development credits / tax credits are recorded as an offset to these costs.</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Costs for certain development activities, such as Company funded outside research programs, are recognized based on an evaluation of the progress to completion of specific tasks with respect to their actual costs incurred. Payments for these activities are based on the terms of the individual arrangements, which may differ from the pattern of costs incurred, and are reflected in the condensed consolidated financial statements as prepaid or accrued research and development expenses, as the case may be.</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Treasury Shares</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The Company accounts for treasury shares under the cost method. Treasury shares represent the Company’s ordinary shares that have been issued and subsequently reacquired by the Company. The shares are recorded at cost as a reduction of shareholders’ equity in the condensed consolidated balance sheets.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Treasury shares are held by the Company and may be reissued in the future; accordingly, they are not retired or cancelled upon repurchase. </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Net Income (Loss) per Ordinary Share</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Basic net income (loss) per ordinary share is computed by dividing net income (loss) attributable to ordinary shareholders by the weighted average number of the Company’s ordinary shares assumed to be outstanding during the period of computation. Diluted net income (loss) per ordinary share is computed by dividing net income (loss) attributable to ordinary shareholders by the weighted average number of ordinary shares outstanding during the period, adjusted to give effect to potentially dilutive ordinary shares outstanding during the period using the treasury stock method. Potentially dilutive ordinary shares consist primarily of share options, restricted share units, and warrants. These securities are included in the computation of diluted net income per ordinary share when their effect is dilutive. Potentially dilutive securities are excluded from the computation of diluted earnings per ordinary share if their effect would be anti-dilutive. For periods in which the Company reports a net loss, all potentially dilutive ordinary shares are excluded from the computation of diluted net loss per ordinary share because their inclusion would be anti-dilutive. As a result, basic and diluted net loss per ordinary share are the same for such periods.</w:t>
      </w:r>
    </w:p>
    <w:p>
      <w:pPr>
        <w:pStyle w:val="TextBody"/>
        <w:bidi w:val="0"/>
        <w:spacing w:before="0" w:after="0"/>
        <w:ind w:left="45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83" w:name="Tc_K1JAINMAd0WyhA-Xh2HZGQ_26_11"/>
      <w:bookmarkStart w:id="1084" w:name="Tc_AWb8Ypf6xU26sCcAc1Vvzw_26_8"/>
      <w:bookmarkStart w:id="1085" w:name="Tc_Pnwx5H4OuUCp8Y7KlgB2Eg_26_5"/>
      <w:bookmarkStart w:id="1086" w:name="Tc_BOu5OtFrf0Oj0_RZwvVuYw_26_2"/>
      <w:bookmarkStart w:id="1087" w:name="Tc_gMlgGaiBy0G2YF3ze-FNWw_26_0"/>
      <w:bookmarkStart w:id="1088" w:name="Tc_5pSPPkrdz0S2zBJBwrPcpg_25_8"/>
      <w:bookmarkStart w:id="1089" w:name="Tc_JzDMZGrIaU-NiazgnyNNiA_25_5"/>
      <w:bookmarkStart w:id="1090" w:name="Tc_kPfyQij6_kGu6T2aNI4DFg_25_2"/>
      <w:bookmarkStart w:id="1091" w:name="Tc_bCXk314LwUOF0_6Xy3siXg_25_0"/>
      <w:bookmarkStart w:id="1092" w:name="Tc_pVls0rDrpE6D_ZKj_NrOJg_24_0"/>
      <w:bookmarkStart w:id="1093" w:name="Tc_htqXgb1VyE6ZhHqM8BK2gA_23_0"/>
      <w:bookmarkStart w:id="1094" w:name="Tc_Ws5_6GZJ-0aW5KRVtA-4_A_22_0"/>
      <w:bookmarkStart w:id="1095" w:name="Tc_JEc6we54FEWSDOqZ80V1Dw_21_0"/>
      <w:bookmarkStart w:id="1096" w:name="Tc_AaSp_UYr3UyEE45jX9RUvg_20_0"/>
      <w:bookmarkStart w:id="1097" w:name="Tc_v9942zW_wEm50XugXuQ4LQ_19_0"/>
      <w:bookmarkStart w:id="1098" w:name="Tc_bWOiqJHHRE-gS8l5BDzAUw_18_0"/>
      <w:bookmarkStart w:id="1099" w:name="Tc_WhUyuYaSf064jV6D04n2ug_17_0"/>
      <w:bookmarkStart w:id="1100" w:name="Tc_8flKBluZEUKd7qCSm9OHSQ_16_0"/>
      <w:bookmarkStart w:id="1101" w:name="Tc_LxVxXO96yUic3J9ESCTsSA_15_0"/>
      <w:bookmarkStart w:id="1102" w:name="Tc_m8npvQe9rEK-QS3hfuHeFw_14_3"/>
      <w:bookmarkStart w:id="1103" w:name="Tc_wD2gDNpJj02pVzfX_bCung_14_0"/>
      <w:bookmarkStart w:id="1104" w:name="Tc_ZzxoimWr40WsjqYD0SZ59A_13_0"/>
      <w:bookmarkStart w:id="1105" w:name="Tc_Yyn37kXh4UeDO3A4ew2V0w_12_0"/>
      <w:bookmarkStart w:id="1106" w:name="Tc_nc6HHoFGKEOw5Q71qGEQPQ_11_12"/>
      <w:bookmarkStart w:id="1107" w:name="Tc_2toFHsxP1EKOSbvVnpIbXA_11_6"/>
      <w:bookmarkStart w:id="1108" w:name="Tc_mnLNDUsIJkamEuhGTrS3UQ_11_0"/>
      <w:bookmarkStart w:id="1109" w:name="Tc_By5OlJgefkGTMjgbw_cY-g_10_0"/>
      <w:bookmarkStart w:id="1110" w:name="Tc_virUyLt3Z0ms8coZRwCfsQ_9_0"/>
      <w:bookmarkStart w:id="1111" w:name="Tc_8xk4Xx61Gk-m-9_l8hGZrg_8_0"/>
      <w:bookmarkStart w:id="1112" w:name="Tc_nRK1O4k30EegxsVSKWZ5hQ_7_12"/>
      <w:bookmarkStart w:id="1113" w:name="Tc__0sPyaSe5UCwzSEwUSj63A_7_6"/>
      <w:bookmarkStart w:id="1114" w:name="Tc_HcnkLyhaY0CSknl_MuJV3w_7_0"/>
      <w:bookmarkStart w:id="1115" w:name="Tc_h2621UYAiEiwE6QSllQB2w_6_0"/>
      <w:bookmarkStart w:id="1116" w:name="Tc_q8Phs9rZsUGO73ZaJU102A_5_12"/>
      <w:bookmarkStart w:id="1117" w:name="Tc__eA7jSQLKEyqqF-_WsJ9sA_5_6"/>
      <w:bookmarkStart w:id="1118" w:name="Tc_V6cNV4JhxkuWwVCvbX5tYw_5_0"/>
      <w:bookmarkStart w:id="1119" w:name="Tc_UeJRpqMd3k6pG9bftH3k6Q_4_12"/>
      <w:bookmarkStart w:id="1120" w:name="Tc_t61ZwjAlrUGWYncp8OgO3w_4_6"/>
      <w:bookmarkStart w:id="1121" w:name="Tc_R1XV3a_nvkWg2CIVoozyhw_4_0"/>
      <w:bookmarkStart w:id="1122" w:name="Tc_A6p1BR9h3kuHZ6duZ0Zs7w_3_11"/>
      <w:bookmarkStart w:id="1123" w:name="Tc_EcRqPY2bvk-n7e_y8HzKcg_3_8"/>
      <w:bookmarkStart w:id="1124" w:name="Tc_JNXpcasVJEW8aJaGEK5cCQ_3_5"/>
      <w:bookmarkStart w:id="1125" w:name="Tc_U8DycJpOLkq6CLiqwG3b9w_3_2"/>
      <w:bookmarkStart w:id="1126" w:name="Tc_sZaVvEiSOUOXgStDQIO6gg_3_0"/>
      <w:bookmarkStart w:id="1127" w:name="Tc_3MmBOxH20EWyi2_3XM9Akg_2_11"/>
      <w:bookmarkStart w:id="1128" w:name="Tc_oT1jOmeOHUKnfG5sOtjQ7w_2_8"/>
      <w:bookmarkStart w:id="1129" w:name="Tc_a0TaBwZRqUCyR7-Ua6B5xA_2_5"/>
      <w:bookmarkStart w:id="1130" w:name="Tc_8q2DNlJkKEKM84El24QRnw_2_2"/>
      <w:bookmarkStart w:id="1131" w:name="Tc_gLB4szJoA0KScDzDw76t5Q_1_8"/>
      <w:bookmarkStart w:id="1132" w:name="Tc_cV0Ul-BDd0axrWUXjrDvKQ_1_2"/>
      <w:bookmarkStart w:id="1133" w:name="_77e957ce_5dcc_4875_9378_bce555b0c1ac"/>
      <w:bookmarkStart w:id="1134" w:name="Tc_K1JAINMAd0WyhA-Xh2HZGQ_26_11"/>
      <w:bookmarkStart w:id="1135" w:name="Tc_AWb8Ypf6xU26sCcAc1Vvzw_26_8"/>
      <w:bookmarkStart w:id="1136" w:name="Tc_Pnwx5H4OuUCp8Y7KlgB2Eg_26_5"/>
      <w:bookmarkStart w:id="1137" w:name="Tc_BOu5OtFrf0Oj0_RZwvVuYw_26_2"/>
      <w:bookmarkStart w:id="1138" w:name="Tc_gMlgGaiBy0G2YF3ze-FNWw_26_0"/>
      <w:bookmarkStart w:id="1139" w:name="Tc_5pSPPkrdz0S2zBJBwrPcpg_25_8"/>
      <w:bookmarkStart w:id="1140" w:name="Tc_JzDMZGrIaU-NiazgnyNNiA_25_5"/>
      <w:bookmarkStart w:id="1141" w:name="Tc_kPfyQij6_kGu6T2aNI4DFg_25_2"/>
      <w:bookmarkStart w:id="1142" w:name="Tc_bCXk314LwUOF0_6Xy3siXg_25_0"/>
      <w:bookmarkStart w:id="1143" w:name="Tc_pVls0rDrpE6D_ZKj_NrOJg_24_0"/>
      <w:bookmarkStart w:id="1144" w:name="Tc_htqXgb1VyE6ZhHqM8BK2gA_23_0"/>
      <w:bookmarkStart w:id="1145" w:name="Tc_Ws5_6GZJ-0aW5KRVtA-4_A_22_0"/>
      <w:bookmarkStart w:id="1146" w:name="Tc_JEc6we54FEWSDOqZ80V1Dw_21_0"/>
      <w:bookmarkStart w:id="1147" w:name="Tc_AaSp_UYr3UyEE45jX9RUvg_20_0"/>
      <w:bookmarkStart w:id="1148" w:name="Tc_v9942zW_wEm50XugXuQ4LQ_19_0"/>
      <w:bookmarkStart w:id="1149" w:name="Tc_bWOiqJHHRE-gS8l5BDzAUw_18_0"/>
      <w:bookmarkStart w:id="1150" w:name="Tc_WhUyuYaSf064jV6D04n2ug_17_0"/>
      <w:bookmarkStart w:id="1151" w:name="Tc_8flKBluZEUKd7qCSm9OHSQ_16_0"/>
      <w:bookmarkStart w:id="1152" w:name="Tc_LxVxXO96yUic3J9ESCTsSA_15_0"/>
      <w:bookmarkStart w:id="1153" w:name="Tc_m8npvQe9rEK-QS3hfuHeFw_14_3"/>
      <w:bookmarkStart w:id="1154" w:name="Tc_wD2gDNpJj02pVzfX_bCung_14_0"/>
      <w:bookmarkStart w:id="1155" w:name="Tc_ZzxoimWr40WsjqYD0SZ59A_13_0"/>
      <w:bookmarkStart w:id="1156" w:name="Tc_Yyn37kXh4UeDO3A4ew2V0w_12_0"/>
      <w:bookmarkStart w:id="1157" w:name="Tc_nc6HHoFGKEOw5Q71qGEQPQ_11_12"/>
      <w:bookmarkStart w:id="1158" w:name="Tc_2toFHsxP1EKOSbvVnpIbXA_11_6"/>
      <w:bookmarkStart w:id="1159" w:name="Tc_mnLNDUsIJkamEuhGTrS3UQ_11_0"/>
      <w:bookmarkStart w:id="1160" w:name="Tc_By5OlJgefkGTMjgbw_cY-g_10_0"/>
      <w:bookmarkStart w:id="1161" w:name="Tc_virUyLt3Z0ms8coZRwCfsQ_9_0"/>
      <w:bookmarkStart w:id="1162" w:name="Tc_8xk4Xx61Gk-m-9_l8hGZrg_8_0"/>
      <w:bookmarkStart w:id="1163" w:name="Tc_nRK1O4k30EegxsVSKWZ5hQ_7_12"/>
      <w:bookmarkStart w:id="1164" w:name="Tc__0sPyaSe5UCwzSEwUSj63A_7_6"/>
      <w:bookmarkStart w:id="1165" w:name="Tc_HcnkLyhaY0CSknl_MuJV3w_7_0"/>
      <w:bookmarkStart w:id="1166" w:name="Tc_h2621UYAiEiwE6QSllQB2w_6_0"/>
      <w:bookmarkStart w:id="1167" w:name="Tc_q8Phs9rZsUGO73ZaJU102A_5_12"/>
      <w:bookmarkStart w:id="1168" w:name="Tc__eA7jSQLKEyqqF-_WsJ9sA_5_6"/>
      <w:bookmarkStart w:id="1169" w:name="Tc_V6cNV4JhxkuWwVCvbX5tYw_5_0"/>
      <w:bookmarkStart w:id="1170" w:name="Tc_UeJRpqMd3k6pG9bftH3k6Q_4_12"/>
      <w:bookmarkStart w:id="1171" w:name="Tc_t61ZwjAlrUGWYncp8OgO3w_4_6"/>
      <w:bookmarkStart w:id="1172" w:name="Tc_R1XV3a_nvkWg2CIVoozyhw_4_0"/>
      <w:bookmarkStart w:id="1173" w:name="Tc_A6p1BR9h3kuHZ6duZ0Zs7w_3_11"/>
      <w:bookmarkStart w:id="1174" w:name="Tc_EcRqPY2bvk-n7e_y8HzKcg_3_8"/>
      <w:bookmarkStart w:id="1175" w:name="Tc_JNXpcasVJEW8aJaGEK5cCQ_3_5"/>
      <w:bookmarkStart w:id="1176" w:name="Tc_U8DycJpOLkq6CLiqwG3b9w_3_2"/>
      <w:bookmarkStart w:id="1177" w:name="Tc_sZaVvEiSOUOXgStDQIO6gg_3_0"/>
      <w:bookmarkStart w:id="1178" w:name="Tc_3MmBOxH20EWyi2_3XM9Akg_2_11"/>
      <w:bookmarkStart w:id="1179" w:name="Tc_oT1jOmeOHUKnfG5sOtjQ7w_2_8"/>
      <w:bookmarkStart w:id="1180" w:name="Tc_a0TaBwZRqUCyR7-Ua6B5xA_2_5"/>
      <w:bookmarkStart w:id="1181" w:name="Tc_8q2DNlJkKEKM84El24QRnw_2_2"/>
      <w:bookmarkStart w:id="1182" w:name="Tc_gLB4szJoA0KScDzDw76t5Q_1_8"/>
      <w:bookmarkStart w:id="1183" w:name="Tc_cV0Ul-BDd0axrWUXjrDvKQ_1_2"/>
      <w:bookmarkStart w:id="1184" w:name="_77e957ce_5dcc_4875_9378_bce555b0c1ac"/>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8740" cy="175260"/>
                      <wp:effectExtent l="0" t="0" r="0" b="0"/>
                      <wp:wrapNone/>
                      <wp:docPr id="117" name="Frame1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45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45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45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45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45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45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45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45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7790" cy="175260"/>
                      <wp:effectExtent l="0" t="0" r="0" b="0"/>
                      <wp:wrapNone/>
                      <wp:docPr id="121" name="Frame1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45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45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discrete information is available for evaluation by the chief operating decision maker (“CODM”), or decision-making group, in deciding how to allocate resources in assessing performance. The Company has one reportable and operating segment, which is the development and manufacturing of genetic medicines, for purposes of reporting financial condition and results of operations. The Company’s CODM is the chief executive officer.</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The accounting policies of its segment are the same as those described in the summary of significant accounting policies. The CODM allocates resources and assesses performance of the Company’s single reportable segment by regularly reviewing the segment net income (loss) that also is reported on the condensed consolidated statements of operations and comprehensive income (loss) as net income (loss).</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The following table sets forth information about the Company’s single reportable segment and the significant expenses reviewed by the CODM, including a reconciliation to net income (loss) (in thousands):</w:t>
      </w:r>
    </w:p>
    <w:tbl>
      <w:tblPr>
        <w:tblW w:w="10205" w:type="dxa"/>
        <w:jc w:val="left"/>
        <w:tblInd w:w="0" w:type="dxa"/>
        <w:tblLayout w:type="fixed"/>
        <w:tblCellMar>
          <w:top w:w="0" w:type="dxa"/>
          <w:left w:w="0" w:type="dxa"/>
          <w:bottom w:w="0" w:type="dxa"/>
          <w:right w:w="0" w:type="dxa"/>
        </w:tblCellMar>
      </w:tblPr>
      <w:tblGrid>
        <w:gridCol w:w="2749"/>
        <w:gridCol w:w="109"/>
        <w:gridCol w:w="321"/>
        <w:gridCol w:w="1183"/>
        <w:gridCol w:w="568"/>
        <w:gridCol w:w="321"/>
        <w:gridCol w:w="1182"/>
        <w:gridCol w:w="346"/>
        <w:gridCol w:w="301"/>
        <w:gridCol w:w="1109"/>
        <w:gridCol w:w="532"/>
        <w:gridCol w:w="301"/>
        <w:gridCol w:w="1183"/>
      </w:tblGrid>
      <w:tr>
        <w:trPr/>
        <w:tc>
          <w:tcPr>
            <w:tcW w:w="2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45615" cy="175260"/>
                      <wp:effectExtent l="0" t="0" r="0" b="0"/>
                      <wp:wrapNone/>
                      <wp:docPr id="122" name="Frame122"/>
                      <a:graphic xmlns:a="http://schemas.openxmlformats.org/drawingml/2006/main">
                        <a:graphicData uri="http://schemas.microsoft.com/office/word/2010/wordprocessingShape">
                          <wps:wsp>
                            <wps:cNvSpPr txBox="1"/>
                            <wps:spPr>
                              <a:xfrm>
                                <a:off x="0" y="0"/>
                                <a:ext cx="174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3835" cy="175260"/>
                      <wp:effectExtent l="0" t="0" r="0" b="0"/>
                      <wp:wrapNone/>
                      <wp:docPr id="124" name="Frame124"/>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51205" cy="175260"/>
                      <wp:effectExtent l="0" t="0" r="0" b="0"/>
                      <wp:wrapNone/>
                      <wp:docPr id="125" name="Frame125"/>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0680" cy="175260"/>
                      <wp:effectExtent l="0" t="0" r="0" b="0"/>
                      <wp:wrapNone/>
                      <wp:docPr id="126" name="Frame12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3835" cy="175260"/>
                      <wp:effectExtent l="0" t="0" r="0" b="0"/>
                      <wp:wrapNone/>
                      <wp:docPr id="127" name="Frame12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50570" cy="175260"/>
                      <wp:effectExtent l="0" t="0" r="0" b="0"/>
                      <wp:wrapNone/>
                      <wp:docPr id="128" name="Frame128"/>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91135" cy="175260"/>
                      <wp:effectExtent l="0" t="0" r="0" b="0"/>
                      <wp:wrapNone/>
                      <wp:docPr id="130" name="Frame13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04215" cy="175260"/>
                      <wp:effectExtent l="0" t="0" r="0" b="0"/>
                      <wp:wrapNone/>
                      <wp:docPr id="131" name="Frame131"/>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37820" cy="175260"/>
                      <wp:effectExtent l="0" t="0" r="0" b="0"/>
                      <wp:wrapNone/>
                      <wp:docPr id="132" name="Frame132"/>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1135" cy="175260"/>
                      <wp:effectExtent l="0" t="0" r="0" b="0"/>
                      <wp:wrapNone/>
                      <wp:docPr id="133" name="Frame13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51205" cy="175260"/>
                      <wp:effectExtent l="0" t="0" r="0" b="0"/>
                      <wp:wrapNone/>
                      <wp:docPr id="134" name="Frame134"/>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75"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Three-Month Periods Ended June 30, </w:t>
            </w:r>
          </w:p>
        </w:tc>
        <w:tc>
          <w:tcPr>
            <w:tcW w:w="346" w:type="dxa"/>
            <w:tcBorders/>
            <w:vAlign w:val="center"/>
          </w:tcPr>
          <w:p>
            <w:pPr>
              <w:pStyle w:val="TableContents"/>
              <w:bidi w:val="0"/>
              <w:spacing w:before="0" w:after="0"/>
              <w:ind w:left="0" w:right="0" w:hanging="0"/>
              <w:jc w:val="center"/>
              <w:rPr/>
            </w:pPr>
            <w:r>
              <w:rPr/>
              <w:t>​</w:t>
            </w:r>
          </w:p>
        </w:tc>
        <w:tc>
          <w:tcPr>
            <w:tcW w:w="3426"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Six-Month Periods Ended June 30, </w:t>
            </w:r>
          </w:p>
        </w:tc>
      </w:tr>
      <w:tr>
        <w:trPr/>
        <w:tc>
          <w:tcPr>
            <w:tcW w:w="2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568" w:type="dxa"/>
            <w:tcBorders/>
            <w:vAlign w:val="center"/>
          </w:tcPr>
          <w:p>
            <w:pPr>
              <w:pStyle w:val="TableContents"/>
              <w:bidi w:val="0"/>
              <w:spacing w:before="0" w:after="0"/>
              <w:ind w:left="0" w:right="0" w:hanging="0"/>
              <w:jc w:val="center"/>
              <w:rPr/>
            </w:pPr>
            <w:r>
              <w:rPr/>
              <w:t>​</w:t>
            </w:r>
          </w:p>
        </w:tc>
        <w:tc>
          <w:tcPr>
            <w:tcW w:w="15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532" w:type="dxa"/>
            <w:tcBorders/>
            <w:vAlign w:val="center"/>
          </w:tcPr>
          <w:p>
            <w:pPr>
              <w:pStyle w:val="TableContents"/>
              <w:bidi w:val="0"/>
              <w:spacing w:before="0" w:after="0"/>
              <w:ind w:left="0" w:right="0" w:hanging="0"/>
              <w:jc w:val="center"/>
              <w:rPr/>
            </w:pPr>
            <w:r>
              <w:rPr/>
              <w:t>​</w:t>
            </w:r>
          </w:p>
        </w:tc>
        <w:tc>
          <w:tcPr>
            <w:tcW w:w="14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749"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Service revenue - related party</w:t>
            </w:r>
          </w:p>
        </w:tc>
        <w:tc>
          <w:tcPr>
            <w:tcW w:w="109" w:type="dxa"/>
            <w:tcBorders/>
            <w:shd w:fill="CCEEFF" w:val="clear"/>
            <w:vAlign w:val="center"/>
          </w:tcPr>
          <w:p>
            <w:pPr>
              <w:pStyle w:val="TableContents"/>
              <w:bidi w:val="0"/>
              <w:spacing w:before="0" w:after="0"/>
              <w:ind w:left="0" w:right="0" w:hanging="0"/>
              <w:jc w:val="both"/>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104,906</w:t>
            </w:r>
          </w:p>
        </w:tc>
        <w:tc>
          <w:tcPr>
            <w:tcW w:w="568" w:type="dxa"/>
            <w:tcBorders/>
            <w:shd w:fill="CCEEFF" w:val="clear"/>
            <w:vAlign w:val="center"/>
          </w:tcPr>
          <w:p>
            <w:pPr>
              <w:pStyle w:val="TableContents"/>
              <w:bidi w:val="0"/>
              <w:spacing w:before="0" w:after="0"/>
              <w:ind w:left="0" w:right="0" w:hanging="0"/>
              <w:jc w:val="left"/>
              <w:rPr/>
            </w:pPr>
            <w:r>
              <w:rPr/>
              <w:t>  ​ ​ ​</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3,691</w:t>
            </w:r>
          </w:p>
        </w:tc>
        <w:tc>
          <w:tcPr>
            <w:tcW w:w="346" w:type="dxa"/>
            <w:tcBorders/>
            <w:shd w:fill="CCEEFF" w:val="clear"/>
            <w:vAlign w:val="center"/>
          </w:tcPr>
          <w:p>
            <w:pPr>
              <w:pStyle w:val="TableContents"/>
              <w:bidi w:val="0"/>
              <w:spacing w:before="0" w:after="0"/>
              <w:ind w:left="0" w:right="0" w:hanging="0"/>
              <w:jc w:val="left"/>
              <w:rPr/>
            </w:pPr>
            <w:r>
              <w:rPr/>
              <w:t>  ​ ​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105,199</w:t>
            </w:r>
          </w:p>
        </w:tc>
        <w:tc>
          <w:tcPr>
            <w:tcW w:w="532" w:type="dxa"/>
            <w:tcBorders/>
            <w:shd w:fill="CCEEFF" w:val="clear"/>
            <w:vAlign w:val="center"/>
          </w:tcPr>
          <w:p>
            <w:pPr>
              <w:pStyle w:val="TableContents"/>
              <w:bidi w:val="0"/>
              <w:spacing w:before="0" w:after="0"/>
              <w:ind w:left="0" w:right="0" w:hanging="0"/>
              <w:jc w:val="left"/>
              <w:rPr/>
            </w:pPr>
            <w:r>
              <w:rPr/>
              <w:t>  ​ ​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5,617</w:t>
            </w:r>
          </w:p>
        </w:tc>
      </w:tr>
      <w:tr>
        <w:trPr/>
        <w:tc>
          <w:tcPr>
            <w:tcW w:w="2749"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Service revenue</w:t>
            </w:r>
          </w:p>
        </w:tc>
        <w:tc>
          <w:tcPr>
            <w:tcW w:w="109" w:type="dxa"/>
            <w:tcBorders/>
            <w:vAlign w:val="center"/>
          </w:tcPr>
          <w:p>
            <w:pPr>
              <w:pStyle w:val="TableContents"/>
              <w:bidi w:val="0"/>
              <w:spacing w:before="0" w:after="0"/>
              <w:ind w:left="0" w:right="0" w:hanging="0"/>
              <w:jc w:val="both"/>
              <w:rPr/>
            </w:pPr>
            <w:r>
              <w:rPr/>
              <w:t>​</w:t>
            </w:r>
          </w:p>
        </w:tc>
        <w:tc>
          <w:tcPr>
            <w:tcW w:w="32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11,885</w:t>
            </w:r>
          </w:p>
        </w:tc>
        <w:tc>
          <w:tcPr>
            <w:tcW w:w="568" w:type="dxa"/>
            <w:tcBorders/>
            <w:vAlign w:val="center"/>
          </w:tcPr>
          <w:p>
            <w:pPr>
              <w:pStyle w:val="TableContents"/>
              <w:bidi w:val="0"/>
              <w:spacing w:before="0" w:after="0"/>
              <w:ind w:left="0" w:right="0" w:hanging="0"/>
              <w:jc w:val="left"/>
              <w:rPr/>
            </w:pPr>
            <w:r>
              <w:rPr/>
              <w:t>  ​ ​ ​</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11,885</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w:t>
            </w:r>
          </w:p>
        </w:tc>
      </w:tr>
      <w:tr>
        <w:trPr/>
        <w:tc>
          <w:tcPr>
            <w:tcW w:w="2749"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License revenue - related party</w:t>
            </w:r>
          </w:p>
        </w:tc>
        <w:tc>
          <w:tcPr>
            <w:tcW w:w="109" w:type="dxa"/>
            <w:tcBorders/>
            <w:shd w:fill="CCEEFF" w:val="clear"/>
            <w:vAlign w:val="center"/>
          </w:tcPr>
          <w:p>
            <w:pPr>
              <w:pStyle w:val="TableContents"/>
              <w:bidi w:val="0"/>
              <w:spacing w:before="0" w:after="0"/>
              <w:ind w:left="0" w:right="0" w:hanging="0"/>
              <w:jc w:val="both"/>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204,643</w:t>
            </w:r>
          </w:p>
        </w:tc>
        <w:tc>
          <w:tcPr>
            <w:tcW w:w="568" w:type="dxa"/>
            <w:tcBorders/>
            <w:shd w:fill="CCEEFF" w:val="clear"/>
            <w:vAlign w:val="center"/>
          </w:tcPr>
          <w:p>
            <w:pPr>
              <w:pStyle w:val="TableContents"/>
              <w:bidi w:val="0"/>
              <w:spacing w:before="0" w:after="0"/>
              <w:ind w:left="0" w:right="0" w:hanging="0"/>
              <w:jc w:val="left"/>
              <w:rPr/>
            </w:pPr>
            <w:r>
              <w:rPr/>
              <w:t>  ​ ​ ​</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204,643</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w:t>
            </w:r>
          </w:p>
        </w:tc>
      </w:tr>
      <w:tr>
        <w:trPr/>
        <w:tc>
          <w:tcPr>
            <w:tcW w:w="2749"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109" w:type="dxa"/>
            <w:tcBorders/>
            <w:vAlign w:val="center"/>
          </w:tcPr>
          <w:p>
            <w:pPr>
              <w:pStyle w:val="TableContents"/>
              <w:bidi w:val="0"/>
              <w:spacing w:before="0" w:after="0"/>
              <w:ind w:left="0" w:right="0" w:hanging="0"/>
              <w:jc w:val="both"/>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service revenue</w:t>
            </w:r>
          </w:p>
        </w:tc>
        <w:tc>
          <w:tcPr>
            <w:tcW w:w="109" w:type="dxa"/>
            <w:tcBorders/>
            <w:shd w:fill="CCEEFF" w:val="clear"/>
            <w:vAlign w:val="center"/>
          </w:tcPr>
          <w:p>
            <w:pPr>
              <w:pStyle w:val="TableContents"/>
              <w:bidi w:val="0"/>
              <w:spacing w:before="0" w:after="0"/>
              <w:ind w:left="0" w:right="0" w:hanging="0"/>
              <w:jc w:val="both"/>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pPr>
            <w:r>
              <w:rPr/>
              <w:t>—</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service revenue - related party</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5,763</w:t>
            </w:r>
          </w:p>
        </w:tc>
        <w:tc>
          <w:tcPr>
            <w:tcW w:w="568" w:type="dxa"/>
            <w:tcBorders/>
            <w:vAlign w:val="center"/>
          </w:tcPr>
          <w:p>
            <w:pPr>
              <w:pStyle w:val="TableContents"/>
              <w:bidi w:val="0"/>
              <w:spacing w:before="0" w:after="0"/>
              <w:ind w:left="0" w:right="0" w:hanging="0"/>
              <w:jc w:val="left"/>
              <w:rPr/>
            </w:pPr>
            <w:r>
              <w:rPr/>
              <w:t>  ​ ​ ​</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2,676</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5,961</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4,054</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9,146</w:t>
            </w:r>
          </w:p>
        </w:tc>
        <w:tc>
          <w:tcPr>
            <w:tcW w:w="568" w:type="dxa"/>
            <w:tcBorders/>
            <w:shd w:fill="CCEEFF" w:val="clear"/>
            <w:vAlign w:val="center"/>
          </w:tcPr>
          <w:p>
            <w:pPr>
              <w:pStyle w:val="TableContents"/>
              <w:bidi w:val="0"/>
              <w:spacing w:before="0" w:after="0"/>
              <w:ind w:left="0" w:right="0" w:hanging="0"/>
              <w:jc w:val="left"/>
              <w:rPr/>
            </w:pPr>
            <w:r>
              <w:rPr/>
              <w:t>  ​ ​ ​</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8,607</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15,316</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14,951</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Clinical programs:</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Botaretigene sparoparvovec</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31,302</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31,331</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pPr>
            <w:r>
              <w:rPr/>
              <w:t>—</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AAV-hAQP1</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7,349</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2,754</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9,704</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7,606</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AAV-GAD</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3,098</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8,970</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4,010</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10,430</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ocular diseases</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1,465</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Manufacturing</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5,046</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8,888</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21,409</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22,989</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Preclinical programs:</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 regulation</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1,252</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3,241</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2,673</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5,527</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Neurodegenerative diseases</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Ocular diseases</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w:t>
            </w:r>
          </w:p>
        </w:tc>
      </w:tr>
      <w:tr>
        <w:trPr/>
        <w:tc>
          <w:tcPr>
            <w:tcW w:w="2749"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Other research and development</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5,540</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3,019</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11,210</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5,651</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3,779</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5,659</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7,433</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10,551</w:t>
            </w:r>
          </w:p>
        </w:tc>
      </w:tr>
      <w:tr>
        <w:trPr/>
        <w:tc>
          <w:tcPr>
            <w:tcW w:w="27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2,825</w:t>
            </w:r>
          </w:p>
        </w:tc>
        <w:tc>
          <w:tcPr>
            <w:tcW w:w="568"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3,190</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5,831</w:t>
            </w:r>
          </w:p>
        </w:tc>
        <w:tc>
          <w:tcPr>
            <w:tcW w:w="532"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6,271</w:t>
            </w:r>
          </w:p>
        </w:tc>
      </w:tr>
      <w:tr>
        <w:trPr/>
        <w:tc>
          <w:tcPr>
            <w:tcW w:w="2749"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Total operating expenses</w:t>
            </w:r>
          </w:p>
        </w:tc>
        <w:tc>
          <w:tcPr>
            <w:tcW w:w="109" w:type="dxa"/>
            <w:tcBorders/>
            <w:shd w:fill="CCEEFF" w:val="clear"/>
            <w:vAlign w:val="center"/>
          </w:tcPr>
          <w:p>
            <w:pPr>
              <w:pStyle w:val="TableContents"/>
              <w:bidi w:val="0"/>
              <w:spacing w:before="0" w:after="0"/>
              <w:ind w:left="0" w:right="0" w:hanging="0"/>
              <w:jc w:val="both"/>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77,009</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48,484</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118,119</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92,006</w:t>
            </w:r>
          </w:p>
        </w:tc>
      </w:tr>
      <w:tr>
        <w:trPr/>
        <w:tc>
          <w:tcPr>
            <w:tcW w:w="2749"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Other segment items</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(83,756)</w:t>
            </w:r>
          </w:p>
        </w:tc>
        <w:tc>
          <w:tcPr>
            <w:tcW w:w="568"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5,998</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(89,252)</w:t>
            </w:r>
          </w:p>
        </w:tc>
        <w:tc>
          <w:tcPr>
            <w:tcW w:w="532"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7,613</w:t>
            </w:r>
          </w:p>
        </w:tc>
      </w:tr>
      <w:tr>
        <w:trPr/>
        <w:tc>
          <w:tcPr>
            <w:tcW w:w="27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Segment 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160,669</w:t>
            </w:r>
          </w:p>
        </w:tc>
        <w:tc>
          <w:tcPr>
            <w:tcW w:w="568"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114,356</w:t>
            </w:r>
          </w:p>
        </w:tc>
        <w:tc>
          <w:tcPr>
            <w:tcW w:w="532"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(78,776)</w:t>
            </w:r>
          </w:p>
        </w:tc>
      </w:tr>
      <w:tr>
        <w:trPr/>
        <w:tc>
          <w:tcPr>
            <w:tcW w:w="2749"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income (loss)</w:t>
            </w:r>
          </w:p>
        </w:tc>
        <w:tc>
          <w:tcPr>
            <w:tcW w:w="109" w:type="dxa"/>
            <w:tcBorders/>
            <w:vAlign w:val="center"/>
          </w:tcPr>
          <w:p>
            <w:pPr>
              <w:pStyle w:val="TableContents"/>
              <w:bidi w:val="0"/>
              <w:spacing w:before="0" w:after="0"/>
              <w:ind w:left="0" w:right="0" w:hanging="0"/>
              <w:jc w:val="both"/>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160,669</w:t>
            </w:r>
          </w:p>
        </w:tc>
        <w:tc>
          <w:tcPr>
            <w:tcW w:w="568"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114,356</w:t>
            </w:r>
          </w:p>
        </w:tc>
        <w:tc>
          <w:tcPr>
            <w:tcW w:w="532"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(78,776)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489" w:right="0" w:hanging="0"/>
        <w:jc w:val="both"/>
        <w:rPr>
          <w:rFonts w:ascii="Times New Roman;Times;serif" w:hAnsi="Times New Roman;Times;serif"/>
          <w:sz w:val="20"/>
        </w:rPr>
      </w:pPr>
      <w:bookmarkStart w:id="1185" w:name="Tc_QdsR7a2qgkKbc-NzwzuAow_6_5"/>
      <w:bookmarkStart w:id="1186" w:name="Tc_D34sctZKOECuvDv8vpgJdw_6_2"/>
      <w:bookmarkStart w:id="1187" w:name="Tc_2VfaFGIYGEaKTY6gymzKHA_5_0"/>
      <w:bookmarkStart w:id="1188" w:name="Tc_8jGgJPLQAkewAkyUdwUgww_4_0"/>
      <w:bookmarkStart w:id="1189" w:name="Tc_5kTWXZqiUkSwfXuo8YUGXg_3_5"/>
      <w:bookmarkStart w:id="1190" w:name="Tc_wCFxKNRfk0iMIjlB8V33MA_3_2"/>
      <w:bookmarkStart w:id="1191" w:name="Tc_f-iAwCp4k0mw0fBQ4rMimw_3_0"/>
      <w:bookmarkStart w:id="1192" w:name="Tc_slwvPFvsrEyEwjbH9d4kMQ_2_5"/>
      <w:bookmarkStart w:id="1193" w:name="Tc_35TqgGIFhEyGhHLZTig-ng_2_2"/>
      <w:bookmarkStart w:id="1194" w:name="Tc_WxwRqoFQmEu2ZU9KNFBNrw_1_5"/>
      <w:bookmarkStart w:id="1195" w:name="Tc_4sPcx8rNck6QjE1gYlspew_1_2"/>
      <w:bookmarkStart w:id="1196" w:name="_bfb2196c_0904_403f_bbf9_fa619d76235c"/>
      <w:bookmarkEnd w:id="1185"/>
      <w:bookmarkEnd w:id="1186"/>
      <w:bookmarkEnd w:id="1187"/>
      <w:bookmarkEnd w:id="1188"/>
      <w:bookmarkEnd w:id="1189"/>
      <w:bookmarkEnd w:id="1190"/>
      <w:bookmarkEnd w:id="1191"/>
      <w:bookmarkEnd w:id="1192"/>
      <w:bookmarkEnd w:id="1193"/>
      <w:bookmarkEnd w:id="1194"/>
      <w:bookmarkEnd w:id="1195"/>
      <w:bookmarkEnd w:id="1196"/>
      <w:r>
        <w:rPr>
          <w:rFonts w:ascii="Times New Roman;Times;serif" w:hAnsi="Times New Roman;Times;serif"/>
          <w:sz w:val="15"/>
        </w:rPr>
        <w:t xml:space="preserve">1 </w:t>
      </w:r>
      <w:r>
        <w:rPr>
          <w:rFonts w:ascii="Times New Roman;Times;serif" w:hAnsi="Times New Roman;Times;serif"/>
          <w:sz w:val="20"/>
        </w:rPr>
        <w:t>Other research and development is comprised of all other costs including payroll and payroll related costs, travel, rent and facilities costs and other non-program specific expenses.</w:t>
      </w:r>
    </w:p>
    <w:p>
      <w:pPr>
        <w:pStyle w:val="TextBody"/>
        <w:bidi w:val="0"/>
        <w:spacing w:lineRule="auto" w:line="240" w:before="0" w:after="240"/>
        <w:ind w:left="489" w:right="0" w:hanging="0"/>
        <w:jc w:val="both"/>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Other segment items is comprised of foreign currency (loss) gain, interest income, interest expense, income tax expense, loss on derivative liability and loss on equity method investee.</w:t>
      </w:r>
    </w:p>
    <w:p>
      <w:pPr>
        <w:pStyle w:val="TextBody"/>
        <w:bidi w:val="0"/>
        <w:spacing w:before="0" w:after="240"/>
        <w:ind w:left="450" w:right="0" w:hanging="0"/>
        <w:jc w:val="left"/>
        <w:rPr>
          <w:rFonts w:ascii="Times New Roman;Times;serif" w:hAnsi="Times New Roman;Times;serif"/>
          <w:sz w:val="20"/>
        </w:rPr>
      </w:pPr>
      <w:r>
        <w:rPr>
          <w:rFonts w:ascii="Times New Roman;Times;serif" w:hAnsi="Times New Roman;Times;serif"/>
          <w:sz w:val="20"/>
        </w:rPr>
        <w:t>The Company’s service revenue – related party and service revenue were generated in the United Kingdom and the Company’s license revenue – related party was generated in the United States.</w:t>
      </w:r>
    </w:p>
    <w:p>
      <w:pPr>
        <w:pStyle w:val="TextBody"/>
        <w:bidi w:val="0"/>
        <w:spacing w:before="0" w:after="0"/>
        <w:ind w:left="450" w:right="0" w:hanging="0"/>
        <w:jc w:val="left"/>
        <w:rPr>
          <w:rFonts w:ascii="Times New Roman;Times;serif" w:hAnsi="Times New Roman;Times;serif"/>
          <w:sz w:val="20"/>
        </w:rPr>
      </w:pPr>
      <w:r>
        <w:rPr>
          <w:rFonts w:ascii="Times New Roman;Times;serif" w:hAnsi="Times New Roman;Times;serif"/>
          <w:sz w:val="20"/>
        </w:rPr>
        <w:t>The following table summarizes long-lived assets by geographical area (in thousands):</w:t>
      </w:r>
    </w:p>
    <w:p>
      <w:pPr>
        <w:pStyle w:val="TextBody"/>
        <w:bidi w:val="0"/>
        <w:spacing w:before="0" w:after="0"/>
        <w:ind w:left="490" w:right="0" w:hanging="0"/>
        <w:jc w:val="left"/>
        <w:rPr/>
      </w:pPr>
      <w:r>
        <w:rPr/>
        <w:t>​</w:t>
      </w:r>
    </w:p>
    <w:tbl>
      <w:tblPr>
        <w:tblW w:w="4520" w:type="dxa"/>
        <w:jc w:val="left"/>
        <w:tblInd w:w="0" w:type="dxa"/>
        <w:tblLayout w:type="fixed"/>
        <w:tblCellMar>
          <w:top w:w="0" w:type="dxa"/>
          <w:left w:w="0" w:type="dxa"/>
          <w:bottom w:w="0" w:type="dxa"/>
          <w:right w:w="0" w:type="dxa"/>
        </w:tblCellMar>
      </w:tblPr>
      <w:tblGrid>
        <w:gridCol w:w="1486"/>
        <w:gridCol w:w="346"/>
        <w:gridCol w:w="211"/>
        <w:gridCol w:w="781"/>
        <w:gridCol w:w="346"/>
        <w:gridCol w:w="256"/>
        <w:gridCol w:w="1094"/>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43610" cy="175260"/>
                      <wp:effectExtent l="0" t="0" r="0" b="0"/>
                      <wp:wrapNone/>
                      <wp:docPr id="135" name="Frame13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2560" cy="175260"/>
                      <wp:effectExtent l="0" t="0" r="0" b="0"/>
                      <wp:wrapNone/>
                      <wp:docPr id="140" name="Frame14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4690" cy="175260"/>
                      <wp:effectExtent l="0" t="0" r="0" b="0"/>
                      <wp:wrapNone/>
                      <wp:docPr id="141" name="Frame141"/>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8,189</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8,830</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25,229</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0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26,092</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European Union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101,284</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107,589</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134,702</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142,511</w:t>
            </w:r>
          </w:p>
        </w:tc>
      </w:tr>
    </w:tbl>
    <w:p>
      <w:pPr>
        <w:pStyle w:val="TextBody"/>
        <w:bidi w:val="0"/>
        <w:spacing w:before="0" w:after="0"/>
        <w:ind w:left="0" w:right="0" w:hanging="0"/>
        <w:jc w:val="left"/>
        <w:rPr/>
      </w:pPr>
      <w:r>
        <w:rPr/>
        <w:t>​</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Non-Controlling Interests</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Non-controlling interests are classified as a separate component of equity in the condensed consolidated balance sheets and condensed consolidated statement of shareholders’ equity. Additionally, net income (loss) and comprehensive income (loss) attributable to non-controlling interests are reflected separately from net income (loss) and comprehensive income (loss) on the condensed consolidated statements of operations and comprehensive income (loss) and condensed consolidated statement of shareholders’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pStyle w:val="TextBody"/>
        <w:bidi w:val="0"/>
        <w:spacing w:before="0" w:after="0"/>
        <w:ind w:left="450" w:right="0" w:hanging="0"/>
        <w:jc w:val="left"/>
        <w:rPr/>
      </w:pPr>
      <w:r>
        <w:rPr/>
        <w:t>​</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 xml:space="preserve">Accounting Pronouncements Adopted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Effective January 1, 2026, the Company adopted ASU 2025-05, </w:t>
      </w:r>
      <w:r>
        <w:rPr>
          <w:rFonts w:ascii="Times New Roman;Times;serif" w:hAnsi="Times New Roman;Times;serif"/>
          <w:i/>
          <w:sz w:val="20"/>
        </w:rPr>
        <w:t>Financial Instrument – Credit Losses (ASC 326)</w:t>
      </w:r>
      <w:r>
        <w:rPr>
          <w:rFonts w:ascii="Times New Roman;Times;serif" w:hAnsi="Times New Roman;Times;serif"/>
          <w:sz w:val="20"/>
        </w:rPr>
        <w:t xml:space="preserve">: </w:t>
      </w:r>
      <w:r>
        <w:rPr>
          <w:rFonts w:ascii="Times New Roman;Times;serif" w:hAnsi="Times New Roman;Times;serif"/>
          <w:i/>
          <w:sz w:val="20"/>
        </w:rPr>
        <w:t>Measurement of Credit Losses for Accounts Receivable and Contract Assets</w:t>
      </w:r>
      <w:r>
        <w:rPr>
          <w:rFonts w:ascii="Times New Roman;Times;serif" w:hAnsi="Times New Roman;Times;serif"/>
          <w:sz w:val="20"/>
        </w:rPr>
        <w:t xml:space="preserve">, which provides targeted improvements to the accounting for credit losses. The adoption of this standard did not have a material impact on the Company’s condensed consolidated financial statements or related disclosures.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In September 2025, the FASB issued ASU 2025-07, </w:t>
      </w:r>
      <w:r>
        <w:rPr>
          <w:rFonts w:ascii="Times New Roman;Times;serif" w:hAnsi="Times New Roman;Times;serif"/>
          <w:i/>
          <w:sz w:val="20"/>
        </w:rPr>
        <w:t>Derivatives and Hedging (ASC 815) and Revenue from Contracts with Customers (ASC 606): Derivative Scope Refinements and Scope Clarification for Share-Based Noncash Consideration from a Customer in a Revenue Contract</w:t>
      </w:r>
      <w:r>
        <w:rPr>
          <w:rFonts w:ascii="Times New Roman;Times;serif" w:hAnsi="Times New Roman;Times;serif"/>
          <w:sz w:val="20"/>
        </w:rPr>
        <w:t xml:space="preserve">, which refines the scope of ASC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ASC 606 for share-based payments from a customer in a revenue contract. The adoption of this standard did not have a material impact on the Company’s condensed consolidated financial statements or related disclosures. </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Recent Accounting Pronouncements Not Yet Adopted</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Reporting Comprehensive Income: Expense Disaggregation Disclosures (Subtopic 220-40)</w:t>
      </w:r>
      <w:r>
        <w:rPr>
          <w:rFonts w:ascii="Times New Roman;Times;serif" w:hAnsi="Times New Roman;Times;serif"/>
          <w:sz w:val="20"/>
        </w:rPr>
        <w:t xml:space="preserve">, which requires public business entities to disclose additional information about specific expense categories in the notes to financial statements at interim and annual reporting periods. In January 2025, the FASB issued ASU 2025-01, </w:t>
      </w:r>
      <w:r>
        <w:rPr>
          <w:rFonts w:ascii="Times New Roman;Times;serif" w:hAnsi="Times New Roman;Times;serif"/>
          <w:i/>
          <w:sz w:val="20"/>
        </w:rPr>
        <w:t>Clarifying the Effective Date</w:t>
      </w:r>
      <w:r>
        <w:rPr>
          <w:rFonts w:ascii="Times New Roman;Times;serif" w:hAnsi="Times New Roman;Times;serif"/>
          <w:sz w:val="20"/>
        </w:rPr>
        <w:t>, which revised the effective date of ASU 2024-03 for interim periods. The guidance is effective for annual periods beginning after December 15, 2026, and interim periods within fiscal years beginning after December 15, 2027. The Company is currently assessing the impact of ASU 2024-03 and ASU 2025-01 on its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In December 2025, the FASB issued ASU 2025-10, </w:t>
      </w:r>
      <w:r>
        <w:rPr>
          <w:rFonts w:ascii="Times New Roman;Times;serif" w:hAnsi="Times New Roman;Times;serif"/>
          <w:i/>
          <w:sz w:val="20"/>
        </w:rPr>
        <w:t>Government Grants (ASC 832): Accounting for Government Grants Received by Business Entities</w:t>
      </w:r>
      <w:r>
        <w:rPr>
          <w:rFonts w:ascii="Times New Roman;Times;serif" w:hAnsi="Times New Roman;Times;serif"/>
          <w:sz w:val="20"/>
        </w:rPr>
        <w:t xml:space="preserve">. This update establishes guidance on the recognition, measurement, and presentation of government grants received by business entities. The new guidance leverages the principles in the accounting framework for government assistance in International Accounting Standard 20, </w:t>
      </w:r>
      <w:r>
        <w:rPr>
          <w:rFonts w:ascii="Times New Roman;Times;serif" w:hAnsi="Times New Roman;Times;serif"/>
          <w:i/>
          <w:sz w:val="20"/>
        </w:rPr>
        <w:t>Accounting for Government Grants and Disclosure of Government Assistance</w:t>
      </w:r>
      <w:r>
        <w:rPr>
          <w:rFonts w:ascii="Times New Roman;Times;serif" w:hAnsi="Times New Roman;Times;serif"/>
          <w:sz w:val="20"/>
        </w:rPr>
        <w:t>. The guidance is effective for interim periods within annual reporting periods beginning after December 15, 2028. Early adoption is permitted. The Company is currently evaluating the impact of ASU 2025-10 on its condensed consolidated financial statements and related disclosures.</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(ASC 270) Narrow-Scope Improvements</w:t>
      </w:r>
      <w:r>
        <w:rPr>
          <w:rFonts w:ascii="Times New Roman;Times;serif" w:hAnsi="Times New Roman;Times;serif"/>
          <w:sz w:val="20"/>
        </w:rPr>
        <w:t xml:space="preserve">. This update clarifies interim disclosure requirements, including providing a comprehensive list of interim disclosure requirements under GAAP and a disclosure principle that requires entities to disclose events since the last annual reporting period that have a material impact on the entity. The guidance is effective for interim periods within annual reporting periods beginning after December 15, 2027. Early adoption is permitted. The Company does not expect any significant impact on its financial condition or results of operations upon adoption. </w:t>
      </w:r>
    </w:p>
    <w:p>
      <w:pPr>
        <w:pStyle w:val="TextBody"/>
        <w:pBdr/>
        <w:bidi w:val="0"/>
        <w:spacing w:before="0" w:after="240"/>
        <w:ind w:left="450" w:right="0" w:hanging="39"/>
        <w:jc w:val="both"/>
        <w:rPr>
          <w:rFonts w:ascii="Times New Roman;Times;serif" w:hAnsi="Times New Roman;Times;serif"/>
          <w:sz w:val="20"/>
        </w:rPr>
      </w:pPr>
      <w:r>
        <w:rPr>
          <w:rFonts w:ascii="Times New Roman;Times;serif" w:hAnsi="Times New Roman;Times;serif"/>
          <w:sz w:val="20"/>
        </w:rPr>
        <w:t xml:space="preserve">In December 2025, the FASB issued ASU 2025-12, </w:t>
      </w:r>
      <w:r>
        <w:rPr>
          <w:rFonts w:ascii="Times New Roman;Times;serif" w:hAnsi="Times New Roman;Times;serif"/>
          <w:i/>
          <w:sz w:val="20"/>
        </w:rPr>
        <w:t>Codification Improvements</w:t>
      </w:r>
      <w:r>
        <w:rPr>
          <w:rFonts w:ascii="Times New Roman;Times;serif" w:hAnsi="Times New Roman;Times;serif"/>
          <w:sz w:val="20"/>
        </w:rPr>
        <w:t xml:space="preserve">, to update, correct, clarify and otherwise improve GAAP. The guidance is effective for annual reporting periods beginning after December 15, 2026, and for interim periods within those annual reporting periods. Early adoption is permitted as of the beginning of an annual reporting period and adoption can be applied prospectively or retrospectively, as well as on an issue-by-issue basis. The Company does not expect any significant impact on its financial condition or results of operations upon adoption. </w:t>
      </w:r>
    </w:p>
    <w:p>
      <w:pPr>
        <w:pStyle w:val="TextBody"/>
        <w:bidi w:val="0"/>
        <w:spacing w:before="0" w:after="240"/>
        <w:ind w:left="0" w:right="0" w:hanging="0"/>
        <w:jc w:val="both"/>
        <w:rPr>
          <w:rFonts w:ascii="Times New Roman;Times;serif" w:hAnsi="Times New Roman;Times;serif"/>
          <w:b/>
          <w:sz w:val="20"/>
        </w:rPr>
      </w:pPr>
      <w:bookmarkStart w:id="1197" w:name="Tc_MqavLsuW_kK1OoHAi9VEXg_5_10"/>
      <w:bookmarkStart w:id="1198" w:name="Tc_mYGbB4V6pUm2_QzVHCYLkA_5_7"/>
      <w:bookmarkStart w:id="1199" w:name="Tc_uODpT-9pnkesrIir3gmYXQ_5_0"/>
      <w:bookmarkStart w:id="1200" w:name="Tc_hPUJpzzYPk-J9-uVWox07Q_4_5"/>
      <w:bookmarkStart w:id="1201" w:name="Tc_p8BCNhtVNkiosods_klgCg_4_2"/>
      <w:bookmarkStart w:id="1202" w:name="Tc_sZozM2pgV0uowJg1dqBKcQ_4_0"/>
      <w:bookmarkStart w:id="1203" w:name="Tc_sltXxUlwcU-04zjUkmTwYQ_3_10"/>
      <w:bookmarkStart w:id="1204" w:name="Tc_D4lMgYr_LkWGZpJ16s0Stw_3_7"/>
      <w:bookmarkStart w:id="1205" w:name="Tc_xkyn_V2BikmjkKE2Q4mxpA_3_5"/>
      <w:bookmarkStart w:id="1206" w:name="Tc_DIIg4oUNJkyB-dvcRdCjqQ_3_2"/>
      <w:bookmarkStart w:id="1207" w:name="Tc_yuJ6o6BREUym3xl0c8oo5g_3_0"/>
      <w:bookmarkStart w:id="1208" w:name="Tc_Dy2cxelpnUW0Uaya5s9nsA_2_10"/>
      <w:bookmarkStart w:id="1209" w:name="Tc_MeAyK0htWkaVAlKrZDn6DQ_2_7"/>
      <w:bookmarkStart w:id="1210" w:name="Tc_SbX55Hfw40amEm72WdfWzQ_2_4"/>
      <w:bookmarkStart w:id="1211" w:name="Tc_Y8lXoQanM02KHVDHkvNhCA_2_2"/>
      <w:bookmarkStart w:id="1212" w:name="Tc__0DaSBOXPEimK1VxUPE3sg_2_0"/>
      <w:bookmarkStart w:id="1213" w:name="Tc_Kq9y-Jd_10GGlH3cxXogzQ_1_4"/>
      <w:bookmarkStart w:id="1214" w:name="_fa4d180d_8009_448f_851b_e371ce326db3"/>
      <w:bookmarkStart w:id="1215" w:name="Tc_v2knXLAKK0yyejquFur1Pg_7_10"/>
      <w:bookmarkStart w:id="1216" w:name="Tc_wczJjSIMKk-IEdbELpEr-Q_7_7"/>
      <w:bookmarkStart w:id="1217" w:name="Tc_mmv4D7hAs0--0EVgmI7tDg_7_0"/>
      <w:bookmarkStart w:id="1218" w:name="Tc_bvBvKNBDDkOmGF-O-EhhdA_6_5"/>
      <w:bookmarkStart w:id="1219" w:name="Tc_7L8VNsaz3kCuGTHhGxUJrQ_6_2"/>
      <w:bookmarkStart w:id="1220" w:name="Tc_yzZZblMUTEWdsEItLE5KHw_6_0"/>
      <w:bookmarkStart w:id="1221" w:name="Tc_hqzgflQI3kuVxz6A3S1e1A_5_5"/>
      <w:bookmarkStart w:id="1222" w:name="Tc_YvYI2mYOrEuD2UeNaHjjbg_5_2"/>
      <w:bookmarkStart w:id="1223" w:name="Tc_SplFYTPDqECgHVQgc-A3dg_5_0"/>
      <w:bookmarkStart w:id="1224" w:name="Tc_BwyhRDZ0ZEOH0SZIVnZ_yA_4_5"/>
      <w:bookmarkStart w:id="1225" w:name="Tc_ivmABBRprkK-6apDlDIZHw_4_2"/>
      <w:bookmarkStart w:id="1226" w:name="Tc_umkSsTf0nUqkxi7OxjqAhQ_4_0"/>
      <w:bookmarkStart w:id="1227" w:name="Tc_rnIhdQQjZUSHkjAirXuk3A_3_10"/>
      <w:bookmarkStart w:id="1228" w:name="Tc_fGta6TQHL0GUBqXfMBybVA_3_7"/>
      <w:bookmarkStart w:id="1229" w:name="Tc_v6ZLHWOQQEuGYT1reY-6kA_3_5"/>
      <w:bookmarkStart w:id="1230" w:name="Tc_LOvSpl0zGU-nrU2p3vTaqQ_3_2"/>
      <w:bookmarkStart w:id="1231" w:name="Tc_z86quPGhdkeN0BJAtCaBlQ_3_0"/>
      <w:bookmarkStart w:id="1232" w:name="Tc_DHCXAdgplUiy5H6J7Q2ZKA_2_10"/>
      <w:bookmarkStart w:id="1233" w:name="Tc_RNVPFDW4GEudPO88Eb-cCg_2_7"/>
      <w:bookmarkStart w:id="1234" w:name="Tc_HXh9ff056EGK4lwXYoQQaA_2_4"/>
      <w:bookmarkStart w:id="1235" w:name="Tc_PPz_I2EDCkykDhQFn0O6yw_2_2"/>
      <w:bookmarkStart w:id="1236" w:name="Tc_lDiLk8Okzke3jjAvA-Xk1A_2_0"/>
      <w:bookmarkStart w:id="1237" w:name="Tc_DEU50s-cpU-z1KKaN27tYQ_1_4"/>
      <w:bookmarkStart w:id="1238" w:name="_6a3ca3ea_f873_47e3_a5b1_89f2ef62e59f"/>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b/>
          <w:sz w:val="20"/>
        </w:rPr>
        <w:t xml:space="preserve">3.      Equity Method and Other Investments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The Company’s investments consist of the following (in thousands):</w:t>
      </w:r>
    </w:p>
    <w:tbl>
      <w:tblPr>
        <w:tblW w:w="10205" w:type="dxa"/>
        <w:jc w:val="left"/>
        <w:tblInd w:w="0" w:type="dxa"/>
        <w:tblLayout w:type="fixed"/>
        <w:tblCellMar>
          <w:top w:w="0" w:type="dxa"/>
          <w:left w:w="0" w:type="dxa"/>
          <w:bottom w:w="0" w:type="dxa"/>
          <w:right w:w="0" w:type="dxa"/>
        </w:tblCellMar>
      </w:tblPr>
      <w:tblGrid>
        <w:gridCol w:w="3057"/>
        <w:gridCol w:w="226"/>
        <w:gridCol w:w="2016"/>
        <w:gridCol w:w="226"/>
        <w:gridCol w:w="1135"/>
        <w:gridCol w:w="661"/>
        <w:gridCol w:w="226"/>
        <w:gridCol w:w="313"/>
        <w:gridCol w:w="1006"/>
        <w:gridCol w:w="226"/>
        <w:gridCol w:w="211"/>
        <w:gridCol w:w="902"/>
      </w:tblGrid>
      <w:tr>
        <w:trPr/>
        <w:tc>
          <w:tcPr>
            <w:tcW w:w="3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41195" cy="175260"/>
                      <wp:effectExtent l="0" t="0" r="0" b="0"/>
                      <wp:wrapNone/>
                      <wp:docPr id="142" name="Frame142"/>
                      <a:graphic xmlns:a="http://schemas.openxmlformats.org/drawingml/2006/main">
                        <a:graphicData uri="http://schemas.microsoft.com/office/word/2010/wordprocessingShape">
                          <wps:wsp>
                            <wps:cNvSpPr txBox="1"/>
                            <wps:spPr>
                              <a:xfrm>
                                <a:off x="0" y="0"/>
                                <a:ext cx="194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3510" cy="175260"/>
                      <wp:effectExtent l="0" t="0" r="0" b="0"/>
                      <wp:wrapNone/>
                      <wp:docPr id="143" name="Frame1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80160" cy="175260"/>
                      <wp:effectExtent l="0" t="0" r="0" b="0"/>
                      <wp:wrapNone/>
                      <wp:docPr id="144" name="Frame144"/>
                      <a:graphic xmlns:a="http://schemas.openxmlformats.org/drawingml/2006/main">
                        <a:graphicData uri="http://schemas.microsoft.com/office/word/2010/wordprocessingShape">
                          <wps:wsp>
                            <wps:cNvSpPr txBox="1"/>
                            <wps:spPr>
                              <a:xfrm>
                                <a:off x="0" y="0"/>
                                <a:ext cx="128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3510" cy="175260"/>
                      <wp:effectExtent l="0" t="0" r="0" b="0"/>
                      <wp:wrapNone/>
                      <wp:docPr id="145"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20725" cy="175260"/>
                      <wp:effectExtent l="0" t="0" r="0" b="0"/>
                      <wp:wrapNone/>
                      <wp:docPr id="146" name="Frame146"/>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19735" cy="175260"/>
                      <wp:effectExtent l="0" t="0" r="0" b="0"/>
                      <wp:wrapNone/>
                      <wp:docPr id="147" name="Frame14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3510" cy="175260"/>
                      <wp:effectExtent l="0" t="0" r="0" b="0"/>
                      <wp:wrapNone/>
                      <wp:docPr id="148" name="Frame1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98755" cy="175260"/>
                      <wp:effectExtent l="0" t="0" r="0" b="0"/>
                      <wp:wrapNone/>
                      <wp:docPr id="149" name="Frame149"/>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38810" cy="175260"/>
                      <wp:effectExtent l="0" t="0" r="0" b="0"/>
                      <wp:wrapNone/>
                      <wp:docPr id="150" name="Frame1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3510" cy="175260"/>
                      <wp:effectExtent l="0" t="0" r="0" b="0"/>
                      <wp:wrapNone/>
                      <wp:docPr id="151" name="Frame1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2770" cy="175260"/>
                      <wp:effectExtent l="0" t="0" r="0" b="0"/>
                      <wp:wrapNone/>
                      <wp:docPr id="153" name="Frame153"/>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5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68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30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Investee</w:t>
            </w:r>
          </w:p>
        </w:tc>
        <w:tc>
          <w:tcPr>
            <w:tcW w:w="226" w:type="dxa"/>
            <w:tcBorders/>
            <w:vAlign w:val="center"/>
          </w:tcPr>
          <w:p>
            <w:pPr>
              <w:pStyle w:val="TableContents"/>
              <w:bidi w:val="0"/>
              <w:spacing w:before="0" w:after="0"/>
              <w:ind w:left="0" w:right="0" w:hanging="0"/>
              <w:jc w:val="left"/>
              <w:rPr/>
            </w:pPr>
            <w:r>
              <w:rPr/>
              <w:t>  ​</w:t>
            </w:r>
          </w:p>
        </w:tc>
        <w:tc>
          <w:tcPr>
            <w:tcW w:w="2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Investment Type</w:t>
            </w:r>
          </w:p>
        </w:tc>
        <w:tc>
          <w:tcPr>
            <w:tcW w:w="226" w:type="dxa"/>
            <w:tcBorders/>
            <w:vAlign w:val="center"/>
          </w:tcPr>
          <w:p>
            <w:pPr>
              <w:pStyle w:val="TableContents"/>
              <w:bidi w:val="0"/>
              <w:spacing w:before="0" w:after="0"/>
              <w:ind w:left="0" w:right="0" w:hanging="0"/>
              <w:jc w:val="center"/>
              <w:rPr/>
            </w:pPr>
            <w:r>
              <w:rPr/>
              <w:t>  ​</w:t>
            </w:r>
          </w:p>
        </w:tc>
        <w:tc>
          <w:tcPr>
            <w:tcW w:w="1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Ownership Percentage</w:t>
            </w:r>
          </w:p>
        </w:tc>
        <w:tc>
          <w:tcPr>
            <w:tcW w:w="226" w:type="dxa"/>
            <w:tcBorders/>
            <w:vAlign w:val="center"/>
          </w:tcPr>
          <w:p>
            <w:pPr>
              <w:pStyle w:val="TableContents"/>
              <w:bidi w:val="0"/>
              <w:spacing w:before="0" w:after="0"/>
              <w:ind w:left="0" w:right="0" w:hanging="0"/>
              <w:jc w:val="center"/>
              <w:rPr/>
            </w:pPr>
            <w:r>
              <w:rPr/>
              <w:t>  ​</w:t>
            </w:r>
          </w:p>
        </w:tc>
        <w:tc>
          <w:tcPr>
            <w:tcW w:w="13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226" w:type="dxa"/>
            <w:tcBorders/>
            <w:vAlign w:val="center"/>
          </w:tcPr>
          <w:p>
            <w:pPr>
              <w:pStyle w:val="TableContents"/>
              <w:bidi w:val="0"/>
              <w:spacing w:before="0" w:after="0"/>
              <w:ind w:left="0" w:right="0" w:hanging="0"/>
              <w:jc w:val="center"/>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 Basis</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Reogen</w:t>
            </w:r>
          </w:p>
        </w:tc>
        <w:tc>
          <w:tcPr>
            <w:tcW w:w="226" w:type="dxa"/>
            <w:tcBorders/>
            <w:shd w:fill="CCEEFF" w:val="clear"/>
            <w:vAlign w:val="center"/>
          </w:tcPr>
          <w:p>
            <w:pPr>
              <w:pStyle w:val="TableContents"/>
              <w:bidi w:val="0"/>
              <w:spacing w:before="0" w:after="0"/>
              <w:ind w:left="0" w:right="0" w:hanging="0"/>
              <w:jc w:val="left"/>
              <w:rPr/>
            </w:pPr>
            <w:r>
              <w:rPr/>
              <w:t>​</w:t>
            </w:r>
          </w:p>
        </w:tc>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w:t>
            </w:r>
          </w:p>
        </w:tc>
        <w:tc>
          <w:tcPr>
            <w:tcW w:w="2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98,178</w:t>
            </w:r>
          </w:p>
        </w:tc>
      </w:tr>
      <w:tr>
        <w:trPr/>
        <w:tc>
          <w:tcPr>
            <w:tcW w:w="3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Hologen Limited</w:t>
            </w:r>
          </w:p>
        </w:tc>
        <w:tc>
          <w:tcPr>
            <w:tcW w:w="226" w:type="dxa"/>
            <w:tcBorders/>
            <w:vAlign w:val="center"/>
          </w:tcPr>
          <w:p>
            <w:pPr>
              <w:pStyle w:val="TableContents"/>
              <w:bidi w:val="0"/>
              <w:spacing w:before="0" w:after="0"/>
              <w:ind w:left="0" w:right="0" w:hanging="0"/>
              <w:jc w:val="left"/>
              <w:rPr/>
            </w:pPr>
            <w:r>
              <w:rPr/>
              <w:t>​</w:t>
            </w:r>
          </w:p>
        </w:tc>
        <w:tc>
          <w:tcPr>
            <w:tcW w:w="2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w:t>
            </w:r>
          </w:p>
        </w:tc>
        <w:tc>
          <w:tcPr>
            <w:tcW w:w="2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Visiogene LLC</w:t>
            </w:r>
          </w:p>
        </w:tc>
        <w:tc>
          <w:tcPr>
            <w:tcW w:w="226" w:type="dxa"/>
            <w:tcBorders/>
            <w:shd w:fill="CCEEFF" w:val="clear"/>
            <w:vAlign w:val="center"/>
          </w:tcPr>
          <w:p>
            <w:pPr>
              <w:pStyle w:val="TableContents"/>
              <w:bidi w:val="0"/>
              <w:spacing w:before="0" w:after="0"/>
              <w:ind w:left="0" w:right="0" w:hanging="0"/>
              <w:jc w:val="left"/>
              <w:rPr/>
            </w:pPr>
            <w:r>
              <w:rPr/>
              <w:t>​</w:t>
            </w:r>
          </w:p>
        </w:tc>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w:t>
            </w:r>
          </w:p>
        </w:tc>
        <w:tc>
          <w:tcPr>
            <w:tcW w:w="2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w:t>
            </w:r>
          </w:p>
        </w:tc>
      </w:tr>
      <w:tr>
        <w:trPr/>
        <w:tc>
          <w:tcPr>
            <w:tcW w:w="3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vAlign w:val="center"/>
          </w:tcPr>
          <w:p>
            <w:pPr>
              <w:pStyle w:val="TableContents"/>
              <w:bidi w:val="0"/>
              <w:spacing w:before="0" w:after="0"/>
              <w:ind w:left="0" w:right="0" w:hanging="0"/>
              <w:jc w:val="left"/>
              <w:rPr/>
            </w:pPr>
            <w:r>
              <w:rPr/>
              <w:t>​</w:t>
            </w:r>
          </w:p>
        </w:tc>
        <w:tc>
          <w:tcPr>
            <w:tcW w:w="2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w:t>
            </w:r>
          </w:p>
        </w:tc>
        <w:tc>
          <w:tcPr>
            <w:tcW w:w="2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method and other investments</w:t>
            </w:r>
          </w:p>
        </w:tc>
        <w:tc>
          <w:tcPr>
            <w:tcW w:w="226" w:type="dxa"/>
            <w:tcBorders/>
            <w:shd w:fill="CCEEFF" w:val="clear"/>
            <w:vAlign w:val="center"/>
          </w:tcPr>
          <w:p>
            <w:pPr>
              <w:pStyle w:val="TableContents"/>
              <w:bidi w:val="0"/>
              <w:spacing w:before="0" w:after="0"/>
              <w:ind w:left="0" w:right="0" w:hanging="0"/>
              <w:jc w:val="left"/>
              <w:rPr/>
            </w:pPr>
            <w:r>
              <w:rPr/>
              <w:t>​</w:t>
            </w:r>
          </w:p>
        </w:tc>
        <w:tc>
          <w:tcPr>
            <w:tcW w:w="20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111,656</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11"/>
        <w:gridCol w:w="226"/>
        <w:gridCol w:w="2043"/>
        <w:gridCol w:w="226"/>
        <w:gridCol w:w="1148"/>
        <w:gridCol w:w="669"/>
        <w:gridCol w:w="226"/>
        <w:gridCol w:w="358"/>
        <w:gridCol w:w="973"/>
        <w:gridCol w:w="226"/>
        <w:gridCol w:w="233"/>
        <w:gridCol w:w="766"/>
      </w:tblGrid>
      <w:tr>
        <w:trPr/>
        <w:tc>
          <w:tcPr>
            <w:tcW w:w="3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75485" cy="350520"/>
                      <wp:effectExtent l="0" t="0" r="0" b="0"/>
                      <wp:wrapNone/>
                      <wp:docPr id="154" name="Frame154"/>
                      <a:graphic xmlns:a="http://schemas.openxmlformats.org/drawingml/2006/main">
                        <a:graphicData uri="http://schemas.microsoft.com/office/word/2010/wordprocessingShape">
                          <wps:wsp>
                            <wps:cNvSpPr txBox="1"/>
                            <wps:spPr>
                              <a:xfrm>
                                <a:off x="0" y="0"/>
                                <a:ext cx="1975485"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3510" cy="175260"/>
                      <wp:effectExtent l="0" t="0" r="0" b="0"/>
                      <wp:wrapNone/>
                      <wp:docPr id="155" name="Frame1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97305" cy="175260"/>
                      <wp:effectExtent l="0" t="0" r="0" b="0"/>
                      <wp:wrapNone/>
                      <wp:docPr id="156" name="Frame156"/>
                      <a:graphic xmlns:a="http://schemas.openxmlformats.org/drawingml/2006/main">
                        <a:graphicData uri="http://schemas.microsoft.com/office/word/2010/wordprocessingShape">
                          <wps:wsp>
                            <wps:cNvSpPr txBox="1"/>
                            <wps:spPr>
                              <a:xfrm>
                                <a:off x="0" y="0"/>
                                <a:ext cx="1297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3510" cy="175260"/>
                      <wp:effectExtent l="0" t="0" r="0" b="0"/>
                      <wp:wrapNone/>
                      <wp:docPr id="157" name="Frame1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28980" cy="175260"/>
                      <wp:effectExtent l="0" t="0" r="0" b="0"/>
                      <wp:wrapNone/>
                      <wp:docPr id="158" name="Frame158"/>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4815" cy="175260"/>
                      <wp:effectExtent l="0" t="0" r="0" b="0"/>
                      <wp:wrapNone/>
                      <wp:docPr id="159" name="Frame159"/>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3510" cy="175260"/>
                      <wp:effectExtent l="0" t="0" r="0" b="0"/>
                      <wp:wrapNone/>
                      <wp:docPr id="160" name="Frame1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7330" cy="175260"/>
                      <wp:effectExtent l="0" t="0" r="0" b="0"/>
                      <wp:wrapNone/>
                      <wp:docPr id="161" name="Frame16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17855" cy="175260"/>
                      <wp:effectExtent l="0" t="0" r="0" b="0"/>
                      <wp:wrapNone/>
                      <wp:docPr id="162" name="Frame162"/>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3510" cy="175260"/>
                      <wp:effectExtent l="0" t="0" r="0" b="0"/>
                      <wp:wrapNone/>
                      <wp:docPr id="163" name="Frame1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7955" cy="175260"/>
                      <wp:effectExtent l="0" t="0" r="0" b="0"/>
                      <wp:wrapNone/>
                      <wp:docPr id="164" name="Frame16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86410" cy="175260"/>
                      <wp:effectExtent l="0" t="0" r="0" b="0"/>
                      <wp:wrapNone/>
                      <wp:docPr id="165" name="Frame16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9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Investee</w:t>
            </w:r>
          </w:p>
        </w:tc>
        <w:tc>
          <w:tcPr>
            <w:tcW w:w="226" w:type="dxa"/>
            <w:tcBorders/>
            <w:vAlign w:val="center"/>
          </w:tcPr>
          <w:p>
            <w:pPr>
              <w:pStyle w:val="TableContents"/>
              <w:bidi w:val="0"/>
              <w:spacing w:before="0" w:after="0"/>
              <w:ind w:left="0" w:right="0" w:hanging="0"/>
              <w:jc w:val="left"/>
              <w:rPr/>
            </w:pPr>
            <w:r>
              <w:rPr/>
              <w:t>  ​</w:t>
            </w:r>
          </w:p>
        </w:tc>
        <w:tc>
          <w:tcPr>
            <w:tcW w:w="20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Investment Type</w:t>
            </w:r>
          </w:p>
        </w:tc>
        <w:tc>
          <w:tcPr>
            <w:tcW w:w="226" w:type="dxa"/>
            <w:tcBorders/>
            <w:vAlign w:val="center"/>
          </w:tcPr>
          <w:p>
            <w:pPr>
              <w:pStyle w:val="TableContents"/>
              <w:bidi w:val="0"/>
              <w:spacing w:before="0" w:after="0"/>
              <w:ind w:left="0" w:right="0" w:hanging="0"/>
              <w:jc w:val="center"/>
              <w:rPr/>
            </w:pPr>
            <w:r>
              <w:rPr/>
              <w:t>  ​</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Ownership Percentage</w:t>
            </w:r>
          </w:p>
        </w:tc>
        <w:tc>
          <w:tcPr>
            <w:tcW w:w="226" w:type="dxa"/>
            <w:tcBorders/>
            <w:vAlign w:val="center"/>
          </w:tcPr>
          <w:p>
            <w:pPr>
              <w:pStyle w:val="TableContents"/>
              <w:bidi w:val="0"/>
              <w:spacing w:before="0" w:after="0"/>
              <w:ind w:left="0" w:right="0" w:hanging="0"/>
              <w:jc w:val="center"/>
              <w:rPr/>
            </w:pPr>
            <w:r>
              <w:rPr/>
              <w:t>  ​</w:t>
            </w:r>
          </w:p>
        </w:tc>
        <w:tc>
          <w:tcPr>
            <w:tcW w:w="13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226" w:type="dxa"/>
            <w:tcBorders/>
            <w:vAlign w:val="center"/>
          </w:tcPr>
          <w:p>
            <w:pPr>
              <w:pStyle w:val="TableContents"/>
              <w:bidi w:val="0"/>
              <w:spacing w:before="0" w:after="0"/>
              <w:ind w:left="0" w:right="0" w:hanging="0"/>
              <w:jc w:val="center"/>
              <w:rPr/>
            </w:pPr>
            <w:r>
              <w:rPr/>
              <w:t>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 Basis</w:t>
            </w:r>
          </w:p>
        </w:tc>
      </w:tr>
      <w:tr>
        <w:trPr/>
        <w:tc>
          <w:tcPr>
            <w:tcW w:w="3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Visiogene LLC</w:t>
            </w:r>
          </w:p>
        </w:tc>
        <w:tc>
          <w:tcPr>
            <w:tcW w:w="226"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w:t>
            </w:r>
          </w:p>
        </w:tc>
        <w:tc>
          <w:tcPr>
            <w:tcW w:w="226"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6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2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w:t>
            </w:r>
          </w:p>
        </w:tc>
      </w:tr>
      <w:tr>
        <w:trPr/>
        <w:tc>
          <w:tcPr>
            <w:tcW w:w="3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w:t>
            </w:r>
          </w:p>
        </w:tc>
        <w:tc>
          <w:tcPr>
            <w:tcW w:w="226"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2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3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method and other investments</w:t>
            </w:r>
          </w:p>
        </w:tc>
        <w:tc>
          <w:tcPr>
            <w:tcW w:w="226"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6,749</w:t>
            </w:r>
          </w:p>
        </w:tc>
        <w:tc>
          <w:tcPr>
            <w:tcW w:w="2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6,665</w:t>
            </w:r>
          </w:p>
        </w:tc>
      </w:tr>
    </w:tbl>
    <w:p>
      <w:pPr>
        <w:pStyle w:val="TextBody"/>
        <w:bidi w:val="0"/>
        <w:spacing w:before="0" w:after="240"/>
        <w:ind w:left="0" w:right="0" w:firstLine="72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On April 20, 2026, the Company completed the initial closing of its strategic collaboration with Hologen and recognized a 39% equity interest in Reogen. The Company accounts for its investment in Reogen under the equity method of accounting because it has the ability to exercise significant influence over Reogen’s operating and financial policies but does not control the entity. As part of the accounting for the strategic collaboration arrangement, the initial carrying amount of the investment was measured based on the fair value of the underlying 39% equity interest acquired. Thereafter, the carrying amount of the investment is adjusted to recognize the Company’s proportionate share of Reogen’s net income or loss and other comprehensive income or loss. As of June 30, 2026, the carrying amount of the Company’s investment in Reogen was $26.3 million. During the three and six months ended June 30, 2026, the Company recognized a loss of $71.9 million under the equity method of accounting, representing its proportionate share of Reogen’s operating results associated with the acquired in-process research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50" w:right="0" w:hanging="0"/>
        <w:jc w:val="both"/>
        <w:rPr>
          <w:rFonts w:ascii="Times New Roman;Times;serif" w:hAnsi="Times New Roman;Times;serif"/>
          <w:sz w:val="20"/>
        </w:rPr>
      </w:pPr>
      <w:bookmarkStart w:id="1239" w:name="Tc_t9sSHj16p0el5RGhC4PDHw_7_2"/>
      <w:bookmarkStart w:id="1240" w:name="Tc_2ZQw0Gg-Lkm1zOWzIHq5Zw_7_0"/>
      <w:bookmarkStart w:id="1241" w:name="Tc_m9d4AR9E0kGkQHzs2o3t4w_6_2"/>
      <w:bookmarkStart w:id="1242" w:name="Tc_j2sC8T5tKU23uLtBkI7hPA_6_0"/>
      <w:bookmarkStart w:id="1243" w:name="Tc_rfrnFJ1beE2AyKoJRpR2fA_5_2"/>
      <w:bookmarkStart w:id="1244" w:name="Tc_BT4X-mXXc0iswT8YZxGQ2Q_5_0"/>
      <w:bookmarkStart w:id="1245" w:name="Tc_nVZIF8Vv10yI3AdjfET5lA_4_2"/>
      <w:bookmarkStart w:id="1246" w:name="Tc_O49i7iA4LUuiLN8mGaKdaA_4_0"/>
      <w:bookmarkStart w:id="1247" w:name="Tc_ugqx30VTzUO4jJtC_ZNJNg_3_0"/>
      <w:bookmarkStart w:id="1248" w:name="Tc_Ar7rIdrp3UWSkky62pcecw_2_2"/>
      <w:bookmarkStart w:id="1249" w:name="Tc_25GC2CSuVUGuLFDkqt3saw_1_2"/>
      <w:bookmarkStart w:id="1250" w:name="_1e6f769a_b4a2_46f1_b95b_e0176cefbe77"/>
      <w:bookmarkEnd w:id="1239"/>
      <w:bookmarkEnd w:id="1240"/>
      <w:bookmarkEnd w:id="1241"/>
      <w:bookmarkEnd w:id="1242"/>
      <w:bookmarkEnd w:id="1243"/>
      <w:bookmarkEnd w:id="1244"/>
      <w:bookmarkEnd w:id="1245"/>
      <w:bookmarkEnd w:id="1246"/>
      <w:bookmarkEnd w:id="1247"/>
      <w:bookmarkEnd w:id="1248"/>
      <w:bookmarkEnd w:id="1249"/>
      <w:bookmarkEnd w:id="1250"/>
      <w:r>
        <w:rPr>
          <w:rFonts w:ascii="Times New Roman;Times;serif" w:hAnsi="Times New Roman;Times;serif"/>
          <w:sz w:val="20"/>
        </w:rPr>
        <w:t xml:space="preserve">and development assets relating to the Clinical Programs and the Delivery Device, as well as Reogen’s ongoing research and development activities.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Below is the summarized financial information of Reogen for the period between April 20, 2026 and June 30, 2026 (in thousands): </w:t>
      </w:r>
    </w:p>
    <w:tbl>
      <w:tblPr>
        <w:tblW w:w="6065" w:type="dxa"/>
        <w:jc w:val="left"/>
        <w:tblInd w:w="0" w:type="dxa"/>
        <w:tblLayout w:type="fixed"/>
        <w:tblCellMar>
          <w:top w:w="0" w:type="dxa"/>
          <w:left w:w="0" w:type="dxa"/>
          <w:bottom w:w="0" w:type="dxa"/>
          <w:right w:w="0" w:type="dxa"/>
        </w:tblCellMar>
      </w:tblPr>
      <w:tblGrid>
        <w:gridCol w:w="3016"/>
        <w:gridCol w:w="109"/>
        <w:gridCol w:w="451"/>
        <w:gridCol w:w="232"/>
        <w:gridCol w:w="232"/>
        <w:gridCol w:w="2025"/>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915160" cy="175260"/>
                      <wp:effectExtent l="0" t="0" r="0" b="0"/>
                      <wp:wrapNone/>
                      <wp:docPr id="166" name="Frame16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6385" cy="175260"/>
                      <wp:effectExtent l="0" t="0" r="0" b="0"/>
                      <wp:wrapNone/>
                      <wp:docPr id="168" name="Frame1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7320" cy="175260"/>
                      <wp:effectExtent l="0" t="0" r="0" b="0"/>
                      <wp:wrapNone/>
                      <wp:docPr id="169" name="Frame16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7320" cy="175260"/>
                      <wp:effectExtent l="0" t="0" r="0" b="0"/>
                      <wp:wrapNone/>
                      <wp:docPr id="170" name="Frame17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85875" cy="175260"/>
                      <wp:effectExtent l="0" t="0" r="0" b="0"/>
                      <wp:wrapNone/>
                      <wp:docPr id="171" name="Frame171"/>
                      <a:graphic xmlns:a="http://schemas.openxmlformats.org/drawingml/2006/main">
                        <a:graphicData uri="http://schemas.microsoft.com/office/word/2010/wordprocessingShape">
                          <wps:wsp>
                            <wps:cNvSpPr txBox="1"/>
                            <wps:spPr>
                              <a:xfrm>
                                <a:off x="0" y="0"/>
                                <a:ext cx="1285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0" w:type="dxa"/>
            <w:gridSpan w:val="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period between </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April 20, 2026 and June 30, 2026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(184,381)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(184,358)</w:t>
            </w:r>
          </w:p>
        </w:tc>
      </w:tr>
    </w:tbl>
    <w:p>
      <w:pPr>
        <w:pStyle w:val="TextBody"/>
        <w:bidi w:val="0"/>
        <w:spacing w:before="0" w:after="0"/>
        <w:ind w:left="0" w:right="0" w:hanging="0"/>
        <w:jc w:val="left"/>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In connection with the strategic collaboration, the Company acquired an aggregate of 500,000 ordinary shares of Hologen, representing an ownership interest of approximately 3%. The investment is accounted for as an equity investment in accordance with ASC 321, </w:t>
      </w:r>
      <w:r>
        <w:rPr>
          <w:rFonts w:ascii="Times New Roman;Times;serif" w:hAnsi="Times New Roman;Times;serif"/>
          <w:i/>
          <w:sz w:val="20"/>
        </w:rPr>
        <w:t>Investments – Equity Securities</w:t>
      </w:r>
      <w:r>
        <w:rPr>
          <w:rFonts w:ascii="Times New Roman;Times;serif" w:hAnsi="Times New Roman;Times;serif"/>
          <w:sz w:val="20"/>
        </w:rPr>
        <w:t>. As part of the accounting for the strategic collaboration arrangement, the investment was initially recognized based on the fair value assigned to the underlying equity interest acquired. Because Hologen is a privately held company without a readily determinable fair value and has multiple classes of shares with differing economic rights and preferences, the fair value assigned to the Company's investment reflects the rights and characteristics of the specific ordinary shares acquired. Subsequently, the investment is measured using the measurement alternative under ASC 321, at cost, less impairment, if any, adjusted for observable price changes in orderly transactions for an identical or similar investment of the same issuer. As of June 30, 2026, the carrying amount of the Company’s investment in Hologen was $6.8 million. Accordingly, the carrying amount of the investment should not be used to infer the overall equity value of Hologen or the value of other classes of Hologen shares.</w:t>
      </w:r>
    </w:p>
    <w:p>
      <w:pPr>
        <w:pStyle w:val="TextBody"/>
        <w:bidi w:val="0"/>
        <w:spacing w:before="0" w:after="0"/>
        <w:ind w:left="45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51" w:name="Tc_dtS_fjeaZU-4IZVKo6wGVQ_11_5"/>
      <w:bookmarkStart w:id="1252" w:name="Tc_fbXpXPVBCEmiff4iW6MRqg_11_2"/>
      <w:bookmarkStart w:id="1253" w:name="Tc_EtTYiseZZkan1ZfcTHOY6A_10_0"/>
      <w:bookmarkStart w:id="1254" w:name="Tc_Jf3j0-IVz0qDIaS9lJttvQ_9_3"/>
      <w:bookmarkStart w:id="1255" w:name="Tc_SZbAwqKT50Wu793VI0DooQ_9_0"/>
      <w:bookmarkStart w:id="1256" w:name="Tc_zbOAyYZLk0ac6XNmKrxOVQ_8_0"/>
      <w:bookmarkStart w:id="1257" w:name="Tc_j59u9DqP5Uaexb40U9HVdg_7_0"/>
      <w:bookmarkStart w:id="1258" w:name="Tc_L2_9tSfKbEir5cT5jazkhw_6_0"/>
      <w:bookmarkStart w:id="1259" w:name="Tc_rNbp11zWnU-BJCmTraSvWg_5_0"/>
      <w:bookmarkStart w:id="1260" w:name="Tc_Hbz_r0kuNEiJ8Y7diJxLaQ_4_0"/>
      <w:bookmarkStart w:id="1261" w:name="Tc_pXErQ4iMPUmEaFBypkj_VQ_3_5"/>
      <w:bookmarkStart w:id="1262" w:name="Tc_CLnAFo6Knk6ZAZYYbcBOig_3_2"/>
      <w:bookmarkStart w:id="1263" w:name="Tc_iuxpqn2AMUyrndrdK_BjXg_3_0"/>
      <w:bookmarkStart w:id="1264" w:name="Tc_jH5QDPv8ZUyS5b0UqCM1nw_2_5"/>
      <w:bookmarkStart w:id="1265" w:name="Tc_KXqUmQCmmUeah2MF7u1F_Q_2_2"/>
      <w:bookmarkStart w:id="1266" w:name="Tc_vG4l1-BBKkiHdZIgwmAE1w_1_5"/>
      <w:bookmarkStart w:id="1267" w:name="Tc_I92WFtFqWUKiKn6EpnnAfg_1_2"/>
      <w:bookmarkStart w:id="1268" w:name="_9acc58fa_40c2_4a18_a743_db7acc113b8f"/>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b/>
          <w:sz w:val="20"/>
        </w:rPr>
        <w:t>4.       Accrued Expenses</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Accrued expenses for the periods presented are comprised of the following (in thousands):</w:t>
      </w:r>
    </w:p>
    <w:p>
      <w:pPr>
        <w:pStyle w:val="TextBody"/>
        <w:bidi w:val="0"/>
        <w:spacing w:before="0" w:after="240"/>
        <w:ind w:left="490" w:right="0" w:hanging="0"/>
        <w:jc w:val="both"/>
        <w:rPr/>
      </w:pPr>
      <w:r>
        <w:rPr/>
        <w:t>​</w:t>
      </w:r>
    </w:p>
    <w:tbl>
      <w:tblPr>
        <w:tblW w:w="5270" w:type="dxa"/>
        <w:jc w:val="left"/>
        <w:tblInd w:w="0" w:type="dxa"/>
        <w:tblLayout w:type="fixed"/>
        <w:tblCellMar>
          <w:top w:w="0" w:type="dxa"/>
          <w:left w:w="0" w:type="dxa"/>
          <w:bottom w:w="0" w:type="dxa"/>
          <w:right w:w="0" w:type="dxa"/>
        </w:tblCellMar>
      </w:tblPr>
      <w:tblGrid>
        <w:gridCol w:w="2341"/>
        <w:gridCol w:w="346"/>
        <w:gridCol w:w="211"/>
        <w:gridCol w:w="676"/>
        <w:gridCol w:w="346"/>
        <w:gridCol w:w="283"/>
        <w:gridCol w:w="1067"/>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86535" cy="175260"/>
                      <wp:effectExtent l="0" t="0" r="0" b="0"/>
                      <wp:wrapNone/>
                      <wp:docPr id="172" name="Frame172"/>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9705" cy="175260"/>
                      <wp:effectExtent l="0" t="0" r="0" b="0"/>
                      <wp:wrapNone/>
                      <wp:docPr id="177" name="Frame17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77545" cy="175260"/>
                      <wp:effectExtent l="0" t="0" r="0" b="0"/>
                      <wp:wrapNone/>
                      <wp:docPr id="178" name="Frame178"/>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8,785</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12,810</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4,094</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10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6,069</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3,358</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3,867</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10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10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Tranche 1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w:t>
            </w:r>
          </w:p>
        </w:tc>
        <w:tc>
          <w:tcPr>
            <w:tcW w:w="34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w:t>
            </w:r>
          </w:p>
        </w:tc>
      </w:tr>
      <w:tr>
        <w:trPr/>
        <w:tc>
          <w:tcPr>
            <w:tcW w:w="23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21,225</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32,893</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tbl>
      <w:tblPr>
        <w:tblW w:w="2327" w:type="dxa"/>
        <w:jc w:val="left"/>
        <w:tblInd w:w="0" w:type="dxa"/>
        <w:tblLayout w:type="fixed"/>
        <w:tblCellMar>
          <w:top w:w="0" w:type="dxa"/>
          <w:left w:w="0" w:type="dxa"/>
          <w:bottom w:w="0" w:type="dxa"/>
          <w:right w:w="0" w:type="dxa"/>
        </w:tblCellMar>
      </w:tblPr>
      <w:tblGrid>
        <w:gridCol w:w="316"/>
        <w:gridCol w:w="2011"/>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5. </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The Company recognizes certain financial instruments arising from financing and strategic collaboration arrangements. These instruments are measured either at fair value on a recurring basis or in accordance with their applicable accounting guidance. Depending on changes in fair value, these instruments may be presented as either assets or liabilities in the accompanying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50" w:right="0" w:hanging="0"/>
        <w:jc w:val="both"/>
        <w:rPr/>
      </w:pPr>
      <w:bookmarkStart w:id="1269" w:name="Tc_nTP0BH1JdEOiWKZxgVXVVQ_5_6"/>
      <w:bookmarkStart w:id="1270" w:name="Tc_jdnGOmxFfUizeI8g8hJtug_5_5"/>
      <w:bookmarkStart w:id="1271" w:name="Tc_ATWFUx0-JEq39UD_ogm2-A_5_2"/>
      <w:bookmarkStart w:id="1272" w:name="Tc_Yqjb6Yj4H0uAB-VamHIp0g_5_0"/>
      <w:bookmarkStart w:id="1273" w:name="Tc_a9aZhYEcJ0mrnIfKlvZqww_4_6"/>
      <w:bookmarkStart w:id="1274" w:name="Tc_3W11XD35r0eGy6Gl_Xwj7A_4_5"/>
      <w:bookmarkStart w:id="1275" w:name="Tc_i5VxqqGbc0SxiL9xYDeziA_4_2"/>
      <w:bookmarkStart w:id="1276" w:name="Tc_DuyCiY4zwkOg1gS8uMa_3Q_3_6"/>
      <w:bookmarkStart w:id="1277" w:name="Tc_qbwb-T7OJEWdobd2pa5OyA_3_5"/>
      <w:bookmarkStart w:id="1278" w:name="Tc_5wFGuw9GUUSrILllvPasGA_3_2"/>
      <w:bookmarkStart w:id="1279" w:name="Tc_4RU6jZvtg0uoqknlbZl1kQ_3_0"/>
      <w:bookmarkStart w:id="1280" w:name="Tc_bpOPleOOWE2WyFv53q1X8g_2_5"/>
      <w:bookmarkStart w:id="1281" w:name="Tc_WrbcPhVAUEqzgTtOZn5esg_2_2"/>
      <w:bookmarkStart w:id="1282" w:name="Tc_3Bmh0etWNkSu2zAu21BF_g_2_0"/>
      <w:bookmarkStart w:id="1283" w:name="Tc_yEDDSVVd1kS0If2ShNWCNQ_1_5"/>
      <w:bookmarkStart w:id="1284" w:name="Tc_r56NNLu-O0K6ILXtg8Bulg_1_2"/>
      <w:bookmarkStart w:id="1285" w:name="_867394e0_6ce6_46c7_b0ea_f13a0a238006"/>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t>​</w:t>
      </w:r>
      <w:r>
        <w:rPr>
          <w:rFonts w:ascii="Times New Roman;Times;serif" w:hAnsi="Times New Roman;Times;serif"/>
          <w:sz w:val="20"/>
        </w:rPr>
        <w:br/>
        <w:t>Financial instruments for the periods presented are comprised of the following (in thousands):</w:t>
      </w:r>
    </w:p>
    <w:p>
      <w:pPr>
        <w:pStyle w:val="TextBody"/>
        <w:bidi w:val="0"/>
        <w:spacing w:before="0" w:after="240"/>
        <w:ind w:left="0" w:right="0" w:hanging="0"/>
        <w:jc w:val="both"/>
        <w:rPr/>
      </w:pPr>
      <w:r>
        <w:rPr/>
        <w:t>​</w:t>
      </w:r>
    </w:p>
    <w:tbl>
      <w:tblPr>
        <w:tblW w:w="5570" w:type="dxa"/>
        <w:jc w:val="left"/>
        <w:tblInd w:w="0" w:type="dxa"/>
        <w:tblLayout w:type="fixed"/>
        <w:tblCellMar>
          <w:top w:w="0" w:type="dxa"/>
          <w:left w:w="0" w:type="dxa"/>
          <w:bottom w:w="0" w:type="dxa"/>
          <w:right w:w="0" w:type="dxa"/>
        </w:tblCellMar>
      </w:tblPr>
      <w:tblGrid>
        <w:gridCol w:w="2626"/>
        <w:gridCol w:w="346"/>
        <w:gridCol w:w="211"/>
        <w:gridCol w:w="691"/>
        <w:gridCol w:w="346"/>
        <w:gridCol w:w="422"/>
        <w:gridCol w:w="928"/>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667510" cy="175260"/>
                      <wp:effectExtent l="0" t="0" r="0" b="0"/>
                      <wp:wrapNone/>
                      <wp:docPr id="179" name="Frame179"/>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8785" cy="175260"/>
                      <wp:effectExtent l="0" t="0" r="0" b="0"/>
                      <wp:wrapNone/>
                      <wp:docPr id="182" name="Frame1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67970" cy="175260"/>
                      <wp:effectExtent l="0" t="0" r="0" b="0"/>
                      <wp:wrapNone/>
                      <wp:docPr id="184" name="Frame18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89280" cy="175260"/>
                      <wp:effectExtent l="0" t="0" r="0" b="0"/>
                      <wp:wrapNone/>
                      <wp:docPr id="185" name="Frame185"/>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Instruments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forward instrument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21,800</w:t>
            </w:r>
          </w:p>
        </w:tc>
        <w:tc>
          <w:tcPr>
            <w:tcW w:w="34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0"/>
              <w:ind w:left="0" w:right="0" w:hanging="0"/>
              <w:jc w:val="righ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w:t>
            </w:r>
          </w:p>
        </w:tc>
        <w:tc>
          <w:tcPr>
            <w:tcW w:w="34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option instrument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4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0"/>
              <w:ind w:left="0" w:right="72" w:hanging="0"/>
              <w:jc w:val="right"/>
              <w:rPr/>
            </w:pPr>
            <w:r>
              <w:rPr/>
              <w:t>—</w:t>
            </w:r>
          </w:p>
        </w:tc>
      </w:tr>
    </w:tbl>
    <w:p>
      <w:pPr>
        <w:pStyle w:val="TextBody"/>
        <w:bidi w:val="0"/>
        <w:spacing w:before="0" w:after="240"/>
        <w:ind w:left="446" w:right="0" w:hanging="0"/>
        <w:jc w:val="both"/>
        <w:rPr/>
      </w:pPr>
      <w:r>
        <w:rPr/>
        <w:t>​</w:t>
      </w:r>
    </w:p>
    <w:p>
      <w:pPr>
        <w:pStyle w:val="TextBody"/>
        <w:pBdr/>
        <w:bidi w:val="0"/>
        <w:spacing w:before="0" w:after="0"/>
        <w:ind w:left="446" w:right="0" w:hanging="0"/>
        <w:jc w:val="both"/>
        <w:rPr>
          <w:rFonts w:ascii="Times New Roman;Times;serif" w:hAnsi="Times New Roman;Times;serif"/>
          <w:sz w:val="20"/>
        </w:rPr>
      </w:pPr>
      <w:r>
        <w:rPr>
          <w:rFonts w:ascii="Times New Roman;Times;serif" w:hAnsi="Times New Roman;Times;serif"/>
          <w:sz w:val="20"/>
        </w:rPr>
        <w:t>As described in Note 1, the Company recognized a contingent forward instrument related to its obligation to issue additional MeiraGTx Manufacturing shares upon Hologen's payment of the additional funding commitment, and an option instrument related to Hologen's contractual right to increase its ownership interest in MeiraGTx Manufacturing. These instruments are measured at fair value on a recurring basis using a Monte Carlo simulation model and are classified within Level 3 of the fair value hierarchy due to the use of significant unobservable inputs. Changes in fair value are recognized in earnings in the period in which they occur. As of June 30, 2026, the contingent forward instrument and option instrument were presented within other current assets and other current liabilities, respectively, in the accompanying condensed consolidated balance sheets based on their respective fair values at the reporting date.</w:t>
      </w:r>
    </w:p>
    <w:p>
      <w:pPr>
        <w:pStyle w:val="TextBody"/>
        <w:shd w:fill="FFFFFF" w:val="clear"/>
        <w:bidi w:val="0"/>
        <w:spacing w:before="40" w:after="0"/>
        <w:ind w:left="446" w:right="0" w:hanging="0"/>
        <w:jc w:val="both"/>
        <w:rPr>
          <w:rFonts w:ascii="Times New Roman;Times;serif" w:hAnsi="Times New Roman;Times;serif"/>
          <w:sz w:val="20"/>
        </w:rPr>
      </w:pPr>
      <w:r>
        <w:rPr>
          <w:rFonts w:ascii="Times New Roman;Times;serif" w:hAnsi="Times New Roman;Times;serif"/>
          <w:sz w:val="20"/>
        </w:rPr>
        <w:t>The Company also has a derivative liability associated with the Right and Offering Participation granted under the Securities Purchase Agreement entered into with the Purchasers (as such capitalized terms are defined in, and such transactions are described in, Note 12). The instrument is classified as a liability because it may require settlement through the issuance of a variable number of the Company’s ordinary shares for a fixed monetary amount and is accounted for at fair value on a recurring basis. The derivative liability is classified within Level 3 of the fair value hierarchy as its valuation incorporates significant unobservable inputs, and changes in fair value are recognized in earnings in the period in which they occur. As of June 30, 2026, the derivative liability was presented within other current liabilities in the accompanying condensed consolidated balance sheets based on their respective fair values at the reporting date.</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6.      Share-Based Compensation</w:t>
      </w:r>
    </w:p>
    <w:p>
      <w:pPr>
        <w:pStyle w:val="TextBody"/>
        <w:bidi w:val="0"/>
        <w:spacing w:before="0" w:after="240"/>
        <w:ind w:left="45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The Company’s 2018 Incentive Award Plan (the “2018 Plan”) and 2016 Equity Incentive Plan (the “2016 Plan”) were adopted by the Company’s board of directors and shareholders. Under the 2018 Plan and the 2016 Plan, the Company has granted share options and restricted share units (“RSUs”) to selected officers, employees, non-employee members of the board of directors and non-employee consultants. Upon the adoption of the 2018 Plan, the Company ceased issuing awards under the 2016 Plan.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In June 2026, the Board approved the 2026 Employment Inducement Award Plan (the “2026 Plan”, and together with the 2018 Plan and the 2016 Plan, the “Plans”) to make equity awards to newly hired employees as a material inducement to employment in accordance with Nasdaq Rule 5635(c)(4).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The Company’s board of directors or a committee thereof administers the Plans.</w:t>
      </w:r>
    </w:p>
    <w:p>
      <w:pPr>
        <w:pStyle w:val="TextBody"/>
        <w:bidi w:val="0"/>
        <w:spacing w:before="0" w:after="240"/>
        <w:ind w:left="450" w:right="0" w:hanging="0"/>
        <w:jc w:val="both"/>
        <w:rPr/>
      </w:pPr>
      <w:r>
        <w:rPr/>
        <w:t>​</w:t>
      </w:r>
    </w:p>
    <w:p>
      <w:pPr>
        <w:pStyle w:val="TextBody"/>
        <w:bidi w:val="0"/>
        <w:spacing w:before="0" w:after="240"/>
        <w:ind w:left="450" w:right="0" w:hanging="0"/>
        <w:jc w:val="both"/>
        <w:rPr/>
      </w:pPr>
      <w:r>
        <w:rPr/>
        <w:t>​</w:t>
      </w:r>
    </w:p>
    <w:p>
      <w:pPr>
        <w:pStyle w:val="TextBody"/>
        <w:bidi w:val="0"/>
        <w:spacing w:before="0" w:after="240"/>
        <w:ind w:left="450" w:right="0" w:hanging="0"/>
        <w:jc w:val="both"/>
        <w:rPr/>
      </w:pPr>
      <w:r>
        <w:rPr/>
        <w:t>​</w:t>
      </w:r>
    </w:p>
    <w:p>
      <w:pPr>
        <w:pStyle w:val="TextBody"/>
        <w:bidi w:val="0"/>
        <w:spacing w:before="0" w:after="240"/>
        <w:ind w:left="45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50" w:right="0" w:hanging="0"/>
        <w:jc w:val="both"/>
        <w:rPr>
          <w:rFonts w:ascii="Times New Roman;Times;serif" w:hAnsi="Times New Roman;Times;serif"/>
          <w:b/>
          <w:i/>
          <w:sz w:val="20"/>
        </w:rPr>
      </w:pPr>
      <w:bookmarkStart w:id="1286" w:name="Tc_Ea5q0x9y4kyt8DfgwNHDcQ_6_5"/>
      <w:bookmarkStart w:id="1287" w:name="Tc_fEamo8t9MUe4CDtkaPZ5Xg_6_2"/>
      <w:bookmarkStart w:id="1288" w:name="Tc_wslHv53hlkKjWvx7f7lCsw_6_0"/>
      <w:bookmarkStart w:id="1289" w:name="Tc_ZeIEJty2lU23Z-L-k1SxOQ_5_0"/>
      <w:bookmarkStart w:id="1290" w:name="Tc_VvDxY3Yp_UeMpHKpu9KgUw_4_5"/>
      <w:bookmarkStart w:id="1291" w:name="Tc_J8uMXyK1DUqflLGcAVGIaA_4_2"/>
      <w:bookmarkStart w:id="1292" w:name="Tc_VUH1RN82OECZ_WhZNpdG_w_4_0"/>
      <w:bookmarkStart w:id="1293" w:name="Tc_-fAmB2qfFk22Wq9U30eRwA_2_5"/>
      <w:bookmarkStart w:id="1294" w:name="Tc_BL_x2FGU4Eqr9AoURzP6CA_2_2"/>
      <w:bookmarkStart w:id="1295" w:name="Tc_NtIqWiPhfUWnCfSSOoFkWA_1_2"/>
      <w:bookmarkStart w:id="1296" w:name="_176a5db2_a3e8_4feb_aa8a_c6d0c4edc1ed"/>
      <w:bookmarkStart w:id="1297" w:name="Tc_THl-dmqkUUKE6K32SXKMlA_5_5"/>
      <w:bookmarkStart w:id="1298" w:name="Tc_TdzTE5S4l0uY7rRTR21Jkw_5_2"/>
      <w:bookmarkStart w:id="1299" w:name="Tc_vWH9TRhbmUKeq2TojqdYhw_5_0"/>
      <w:bookmarkStart w:id="1300" w:name="Tc_TWaMhUtvnUagtFQ7alHNOw_4_0"/>
      <w:bookmarkStart w:id="1301" w:name="Tc_k3xivtl_50WkkHmw91JkIA_3_5"/>
      <w:bookmarkStart w:id="1302" w:name="Tc_J4ViGUNNUUS8v933AUtkjA_3_2"/>
      <w:bookmarkStart w:id="1303" w:name="Tc_mvOxPvruj0SVjRyKcXgbyg_3_0"/>
      <w:bookmarkStart w:id="1304" w:name="Tc_Ed5lANXCCkW0L5dt6p3YgQ_2_5"/>
      <w:bookmarkStart w:id="1305" w:name="Tc__pJm2AY8NkOlFE2dLE2j2w_2_2"/>
      <w:bookmarkStart w:id="1306" w:name="Tc_jw93n1T3QEmRPVlW8gotfQ_1_2"/>
      <w:bookmarkStart w:id="1307" w:name="_4a72f432_fc31_4c72_8e2f_1e25fe2c0413"/>
      <w:bookmarkStart w:id="1308" w:name="Tc_CSLgLUxVkkSSNHVauzEXZw_15_2"/>
      <w:bookmarkStart w:id="1309" w:name="Tc_EA8fvCFXFEuhFIRzMuZPKw_15_0"/>
      <w:bookmarkStart w:id="1310" w:name="Tc_qnmyDcCOIEiAbTelQgZ9tA_14_2"/>
      <w:bookmarkStart w:id="1311" w:name="Tc_okZWL_FVHUCT-UFCmR12EA_14_0"/>
      <w:bookmarkStart w:id="1312" w:name="Tc_sMm2HZPSqUCraioaY5WTXg_13_5"/>
      <w:bookmarkStart w:id="1313" w:name="Tc_FCc1A-tOgkyFI_Y66940NQ_13_0"/>
      <w:bookmarkStart w:id="1314" w:name="Tc_G7XAp7-Q00-KEjH3UzHqWA_12_5"/>
      <w:bookmarkStart w:id="1315" w:name="Tc_vN1RlOYZTkONXEcxsbJ7UQ_12_0"/>
      <w:bookmarkStart w:id="1316" w:name="Tc_PK_O3KOnl0ecieqD6KnjWg_11_5"/>
      <w:bookmarkStart w:id="1317" w:name="Tc_V5HYauxGFkOt5NMhUIsE6g_11_0"/>
      <w:bookmarkStart w:id="1318" w:name="Tc_bpGBxmxue0KePHQWcCr_-w_10_5"/>
      <w:bookmarkStart w:id="1319" w:name="Tc_bSinqgE8CEeV1gURqJOzGw_10_0"/>
      <w:bookmarkStart w:id="1320" w:name="Tc_Dq2yYZCENEC9NgHMGk-2iQ_9_5"/>
      <w:bookmarkStart w:id="1321" w:name="Tc_zDklO7M5XkuZl9FJOQHG6g_9_0"/>
      <w:bookmarkStart w:id="1322" w:name="Tc_B82sIH61JU68H8BAI-EKpQ_8_5"/>
      <w:bookmarkStart w:id="1323" w:name="Tc_CZyIT-Gw4UezCYC8EMDiXQ_8_0"/>
      <w:bookmarkStart w:id="1324" w:name="Tc_rrBnvAaCQEWDl2sEkuDG0g_7_5"/>
      <w:bookmarkStart w:id="1325" w:name="Tc_RSc342A5pk693CK8vMy1CQ_7_0"/>
      <w:bookmarkStart w:id="1326" w:name="Tc_i7QbPHO5c0GXLmduuSJwQg_6_5"/>
      <w:bookmarkStart w:id="1327" w:name="Tc_lMjt8RevjEKoeGrcb66Zrw_6_0"/>
      <w:bookmarkStart w:id="1328" w:name="Tc_AHRrrFygGkG0L35c-xjnFw_5_9"/>
      <w:bookmarkStart w:id="1329" w:name="Tc_qh5QIpR470qTGOPg8KWmIg_5_5"/>
      <w:bookmarkStart w:id="1330" w:name="Tc_1Q9kYMTyPkuTdw3uifSyjw_5_3"/>
      <w:bookmarkStart w:id="1331" w:name="Tc_RzzcE338SEaeP53PrVVdFw_4_9"/>
      <w:bookmarkStart w:id="1332" w:name="Tc_h1dW7YO2cUmfwDk3EiekzQ_4_5"/>
      <w:bookmarkStart w:id="1333" w:name="Tc_Qh_NEq5PXU6tJG_J4CoWAg_4_3"/>
      <w:bookmarkStart w:id="1334" w:name="Tc_200q0x8LlkmrotdfUrdlpA_3_9"/>
      <w:bookmarkStart w:id="1335" w:name="Tc_oDYPlYKohEKuuAmGEIbtzA_3_5"/>
      <w:bookmarkStart w:id="1336" w:name="Tc_zHs3HXPgzUeN7LRDgU5L4A_2_9"/>
      <w:bookmarkStart w:id="1337" w:name="Tc_BAAtSm0h_U6Sf8QH_L0htQ_2_5"/>
      <w:bookmarkStart w:id="1338" w:name="Tc_jHEkbOKUDkCYLwuzf1oMqA_1_9"/>
      <w:bookmarkStart w:id="1339" w:name="_eb88fd37_a736_4946_8281_b71cb2f6b5db"/>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b/>
          <w:i/>
          <w:sz w:val="20"/>
        </w:rPr>
        <w:t xml:space="preserve">Options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A summary of the Company’s share option activity related to employees, non-employee members of the board of directors and non-employee consultants as of December 31, 2025 and for the six-month period ended June 30, 2026 is as follows (in thousands, except share and per share amounts):</w:t>
      </w:r>
    </w:p>
    <w:tbl>
      <w:tblPr>
        <w:tblW w:w="10205" w:type="dxa"/>
        <w:jc w:val="left"/>
        <w:tblInd w:w="0" w:type="dxa"/>
        <w:tblLayout w:type="fixed"/>
        <w:tblCellMar>
          <w:top w:w="0" w:type="dxa"/>
          <w:left w:w="0" w:type="dxa"/>
          <w:bottom w:w="0" w:type="dxa"/>
          <w:right w:w="0" w:type="dxa"/>
        </w:tblCellMar>
      </w:tblPr>
      <w:tblGrid>
        <w:gridCol w:w="5670"/>
        <w:gridCol w:w="109"/>
        <w:gridCol w:w="346"/>
        <w:gridCol w:w="1006"/>
        <w:gridCol w:w="346"/>
        <w:gridCol w:w="262"/>
        <w:gridCol w:w="711"/>
        <w:gridCol w:w="346"/>
        <w:gridCol w:w="146"/>
        <w:gridCol w:w="1263"/>
      </w:tblGrid>
      <w:tr>
        <w:trPr/>
        <w:tc>
          <w:tcPr>
            <w:tcW w:w="5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00450" cy="175260"/>
                      <wp:effectExtent l="0" t="0" r="0" b="0"/>
                      <wp:wrapNone/>
                      <wp:docPr id="186" name="Frame186"/>
                      <a:graphic xmlns:a="http://schemas.openxmlformats.org/drawingml/2006/main">
                        <a:graphicData uri="http://schemas.microsoft.com/office/word/2010/wordprocessingShape">
                          <wps:wsp>
                            <wps:cNvSpPr txBox="1"/>
                            <wps:spPr>
                              <a:xfrm>
                                <a:off x="0" y="0"/>
                                <a:ext cx="3600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38810" cy="175260"/>
                      <wp:effectExtent l="0" t="0" r="0" b="0"/>
                      <wp:wrapNone/>
                      <wp:docPr id="189" name="Frame18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6370" cy="175260"/>
                      <wp:effectExtent l="0" t="0" r="0" b="0"/>
                      <wp:wrapNone/>
                      <wp:docPr id="191" name="Frame19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51485" cy="175260"/>
                      <wp:effectExtent l="0" t="0" r="0" b="0"/>
                      <wp:wrapNone/>
                      <wp:docPr id="192" name="Frame192"/>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710" cy="175260"/>
                      <wp:effectExtent l="0" t="0" r="0" b="0"/>
                      <wp:wrapNone/>
                      <wp:docPr id="194" name="Frame1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02005" cy="175260"/>
                      <wp:effectExtent l="0" t="0" r="0" b="0"/>
                      <wp:wrapNone/>
                      <wp:docPr id="195" name="Frame195"/>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5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5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5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346" w:type="dxa"/>
            <w:tcBorders/>
            <w:vAlign w:val="center"/>
          </w:tcPr>
          <w:p>
            <w:pPr>
              <w:pStyle w:val="TableContents"/>
              <w:bidi w:val="0"/>
              <w:spacing w:before="0" w:after="0"/>
              <w:ind w:left="0" w:right="0" w:hanging="0"/>
              <w:jc w:val="left"/>
              <w:rPr/>
            </w:pPr>
            <w:r>
              <w:rPr/>
              <w:t>​</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w:t>
            </w:r>
          </w:p>
        </w:tc>
      </w:tr>
      <w:tr>
        <w:trPr/>
        <w:tc>
          <w:tcPr>
            <w:tcW w:w="5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46" w:type="dxa"/>
            <w:tcBorders/>
            <w:vAlign w:val="center"/>
          </w:tcPr>
          <w:p>
            <w:pPr>
              <w:pStyle w:val="TableContents"/>
              <w:bidi w:val="0"/>
              <w:spacing w:before="0" w:after="0"/>
              <w:ind w:left="0" w:right="0" w:hanging="0"/>
              <w:jc w:val="left"/>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 (years)</w:t>
            </w:r>
          </w:p>
        </w:tc>
      </w:tr>
      <w:tr>
        <w:trPr/>
        <w:tc>
          <w:tcPr>
            <w:tcW w:w="5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7,859,338</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r>
      <w:tr>
        <w:trPr/>
        <w:tc>
          <w:tcPr>
            <w:tcW w:w="5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334,400</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pPr>
            <w:r>
              <w:rPr/>
              <w:t>​</w:t>
            </w:r>
          </w:p>
        </w:tc>
      </w:tr>
      <w:tr>
        <w:trPr/>
        <w:tc>
          <w:tcPr>
            <w:tcW w:w="5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(151,314)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pPr>
            <w:r>
              <w:rPr/>
              <w:t>​</w:t>
            </w:r>
          </w:p>
        </w:tc>
      </w:tr>
      <w:tr>
        <w:trPr/>
        <w:tc>
          <w:tcPr>
            <w:tcW w:w="5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(312,712)</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left"/>
              <w:rPr/>
            </w:pPr>
            <w:r>
              <w:rPr/>
              <w:t>​</w:t>
            </w:r>
          </w:p>
        </w:tc>
      </w:tr>
      <w:tr>
        <w:trPr/>
        <w:tc>
          <w:tcPr>
            <w:tcW w:w="5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(198,197)</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left"/>
              <w:rPr/>
            </w:pPr>
            <w:r>
              <w:rPr/>
              <w:t>​</w:t>
            </w:r>
          </w:p>
        </w:tc>
      </w:tr>
      <w:tr>
        <w:trPr/>
        <w:tc>
          <w:tcPr>
            <w:tcW w:w="5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7,531,515</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5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6,754,572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5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2026</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7,531,515</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5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intrinsic value of options outstanding as of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22,139</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263" w:type="dxa"/>
            <w:tcBorders/>
            <w:shd w:fill="CCEEFF" w:val="clear"/>
            <w:vAlign w:val="center"/>
          </w:tcPr>
          <w:p>
            <w:pPr>
              <w:pStyle w:val="TableContents"/>
              <w:bidi w:val="0"/>
              <w:spacing w:before="0" w:after="0"/>
              <w:ind w:left="0" w:right="0" w:hanging="0"/>
              <w:jc w:val="left"/>
              <w:rPr/>
            </w:pPr>
            <w:r>
              <w:rPr/>
              <w:t>  ​</w:t>
            </w:r>
          </w:p>
        </w:tc>
      </w:tr>
      <w:tr>
        <w:trPr/>
        <w:tc>
          <w:tcPr>
            <w:tcW w:w="5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intrinsic value of options exercisable as of June 30, 2026</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19,361</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263"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 xml:space="preserve">Options granted under the Plans have a maximum contractual term of </w:t>
      </w:r>
      <w:r>
        <w:rPr>
          <w:rFonts w:ascii="Times New Roman;Times;serif" w:hAnsi="Times New Roman;Times;serif"/>
          <w:b w:val="false"/>
          <w:i w:val="false"/>
          <w:caps w:val="false"/>
          <w:smallCaps w:val="false"/>
          <w:sz w:val="20"/>
        </w:rPr>
        <w:t>ten years</w:t>
      </w:r>
      <w:r>
        <w:rPr>
          <w:rFonts w:ascii="Times New Roman;Times;serif" w:hAnsi="Times New Roman;Times;serif"/>
          <w:sz w:val="20"/>
        </w:rPr>
        <w:t xml:space="preserve">. Options granted generally vest 25% on the first anniversary of the date of grant and the balance ratably over the next 36 months. Options granted to directors when they join the board generally vest in 36 equal monthly installments following the date of grant, and annual options granted to directors generally vest on the earlier of the first anniversary of the date of grant or the day before the Company’s annual meeting of shareholders after the date of grant. </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The Company recorded the following share-based compensation expense in connection with the options for the three-month and six-month periods ended June 30, 2026 and 2025 (in thousands):</w:t>
      </w:r>
    </w:p>
    <w:tbl>
      <w:tblPr>
        <w:tblW w:w="6421" w:type="dxa"/>
        <w:jc w:val="left"/>
        <w:tblInd w:w="0" w:type="dxa"/>
        <w:tblLayout w:type="fixed"/>
        <w:tblCellMar>
          <w:top w:w="0" w:type="dxa"/>
          <w:left w:w="0" w:type="dxa"/>
          <w:bottom w:w="0" w:type="dxa"/>
          <w:right w:w="0" w:type="dxa"/>
        </w:tblCellMar>
      </w:tblPr>
      <w:tblGrid>
        <w:gridCol w:w="2731"/>
        <w:gridCol w:w="346"/>
        <w:gridCol w:w="376"/>
        <w:gridCol w:w="750"/>
        <w:gridCol w:w="616"/>
        <w:gridCol w:w="376"/>
        <w:gridCol w:w="12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734185" cy="175260"/>
                      <wp:effectExtent l="0" t="0" r="0" b="0"/>
                      <wp:wrapNone/>
                      <wp:docPr id="196" name="Frame196"/>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38760" cy="175260"/>
                      <wp:effectExtent l="0" t="0" r="0" b="0"/>
                      <wp:wrapNone/>
                      <wp:docPr id="198" name="Frame19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76250" cy="175260"/>
                      <wp:effectExtent l="0" t="0" r="0" b="0"/>
                      <wp:wrapNone/>
                      <wp:docPr id="199" name="Frame199"/>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91160" cy="175260"/>
                      <wp:effectExtent l="0" t="0" r="0" b="0"/>
                      <wp:wrapNone/>
                      <wp:docPr id="200" name="Frame2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8760" cy="175260"/>
                      <wp:effectExtent l="0" t="0" r="0" b="0"/>
                      <wp:wrapNone/>
                      <wp:docPr id="201" name="Frame20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78510" cy="175260"/>
                      <wp:effectExtent l="0" t="0" r="0" b="0"/>
                      <wp:wrapNone/>
                      <wp:docPr id="202" name="Frame202"/>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Three-Month Periods Ended June 30,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16" w:type="dxa"/>
            <w:tcBorders/>
            <w:vAlign w:val="center"/>
          </w:tcPr>
          <w:p>
            <w:pPr>
              <w:pStyle w:val="TableContents"/>
              <w:bidi w:val="0"/>
              <w:spacing w:before="0" w:after="0"/>
              <w:ind w:left="0" w:right="0" w:hanging="0"/>
              <w:jc w:val="left"/>
              <w:rPr/>
            </w:pPr>
            <w:r>
              <w:rPr/>
              <w:t>  ​ ​ ​</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6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61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61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1,342</w:t>
            </w:r>
          </w:p>
        </w:tc>
      </w:tr>
    </w:tbl>
    <w:p>
      <w:pPr>
        <w:pStyle w:val="TextBody"/>
        <w:bidi w:val="0"/>
        <w:spacing w:before="0" w:after="0"/>
        <w:ind w:left="0" w:right="0" w:hanging="0"/>
        <w:jc w:val="left"/>
        <w:rPr/>
      </w:pPr>
      <w:r>
        <w:rPr/>
        <w:t>​</w:t>
      </w:r>
    </w:p>
    <w:tbl>
      <w:tblPr>
        <w:tblW w:w="6181" w:type="dxa"/>
        <w:jc w:val="left"/>
        <w:tblInd w:w="0" w:type="dxa"/>
        <w:tblLayout w:type="fixed"/>
        <w:tblCellMar>
          <w:top w:w="0" w:type="dxa"/>
          <w:left w:w="0" w:type="dxa"/>
          <w:bottom w:w="0" w:type="dxa"/>
          <w:right w:w="0" w:type="dxa"/>
        </w:tblCellMar>
      </w:tblPr>
      <w:tblGrid>
        <w:gridCol w:w="2731"/>
        <w:gridCol w:w="346"/>
        <w:gridCol w:w="323"/>
        <w:gridCol w:w="874"/>
        <w:gridCol w:w="530"/>
        <w:gridCol w:w="323"/>
        <w:gridCol w:w="1054"/>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34185" cy="175260"/>
                      <wp:effectExtent l="0" t="0" r="0" b="0"/>
                      <wp:wrapNone/>
                      <wp:docPr id="203" name="Frame20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5105" cy="175260"/>
                      <wp:effectExtent l="0" t="0" r="0" b="0"/>
                      <wp:wrapNone/>
                      <wp:docPr id="205" name="Frame205"/>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54990" cy="175260"/>
                      <wp:effectExtent l="0" t="0" r="0" b="0"/>
                      <wp:wrapNone/>
                      <wp:docPr id="206" name="Frame206"/>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36550" cy="175260"/>
                      <wp:effectExtent l="0" t="0" r="0" b="0"/>
                      <wp:wrapNone/>
                      <wp:docPr id="207" name="Frame207"/>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5105" cy="175260"/>
                      <wp:effectExtent l="0" t="0" r="0" b="0"/>
                      <wp:wrapNone/>
                      <wp:docPr id="208" name="Frame20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9290" cy="175260"/>
                      <wp:effectExtent l="0" t="0" r="0" b="0"/>
                      <wp:wrapNone/>
                      <wp:docPr id="209" name="Frame209"/>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Six-Month Periods Ended June 30, </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30" w:type="dxa"/>
            <w:tcBorders/>
            <w:vAlign w:val="center"/>
          </w:tcPr>
          <w:p>
            <w:pPr>
              <w:pStyle w:val="TableContents"/>
              <w:bidi w:val="0"/>
              <w:spacing w:before="0" w:after="1"/>
              <w:ind w:left="0" w:right="0" w:hanging="0"/>
              <w:jc w:val="left"/>
              <w:rPr/>
            </w:pPr>
            <w:r>
              <w:rPr/>
              <w:t>  ​ ​ ​</w:t>
            </w:r>
          </w:p>
        </w:tc>
        <w:tc>
          <w:tcPr>
            <w:tcW w:w="13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3"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530" w:type="dxa"/>
            <w:tcBorders/>
            <w:vAlign w:val="center"/>
          </w:tcPr>
          <w:p>
            <w:pPr>
              <w:pStyle w:val="TableContents"/>
              <w:bidi w:val="0"/>
              <w:spacing w:before="0" w:after="1"/>
              <w:ind w:left="0" w:right="0" w:hanging="0"/>
              <w:jc w:val="left"/>
              <w:rPr/>
            </w:pPr>
            <w:r>
              <w:rPr/>
              <w:t>​</w:t>
            </w:r>
          </w:p>
        </w:tc>
        <w:tc>
          <w:tcPr>
            <w:tcW w:w="323" w:type="dxa"/>
            <w:tcBorders/>
            <w:vAlign w:val="center"/>
          </w:tcPr>
          <w:p>
            <w:pPr>
              <w:pStyle w:val="TableContents"/>
              <w:bidi w:val="0"/>
              <w:spacing w:before="0" w:after="1"/>
              <w:ind w:left="0" w:right="0" w:hanging="0"/>
              <w:jc w:val="center"/>
              <w:rPr/>
            </w:pPr>
            <w:r>
              <w:rPr/>
              <w:t>​</w:t>
            </w:r>
          </w:p>
        </w:tc>
        <w:tc>
          <w:tcPr>
            <w:tcW w:w="1054" w:type="dxa"/>
            <w:tcBorders/>
            <w:vAlign w:val="center"/>
          </w:tcPr>
          <w:p>
            <w:pPr>
              <w:pStyle w:val="TableContents"/>
              <w:bidi w:val="0"/>
              <w:spacing w:before="0" w:after="1"/>
              <w:ind w:left="0" w:right="0" w:hanging="0"/>
              <w:jc w:val="center"/>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3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530" w:type="dxa"/>
            <w:tcBorders/>
            <w:shd w:fill="CCEEFF" w:val="clear"/>
            <w:vAlign w:val="center"/>
          </w:tcPr>
          <w:p>
            <w:pPr>
              <w:pStyle w:val="TableContents"/>
              <w:bidi w:val="0"/>
              <w:spacing w:before="0" w:after="1"/>
              <w:ind w:left="0" w:right="0" w:hanging="0"/>
              <w:jc w:val="left"/>
              <w:rPr/>
            </w:pPr>
            <w:r>
              <w:rPr/>
              <w:t>​</w:t>
            </w:r>
          </w:p>
        </w:tc>
        <w:tc>
          <w:tcPr>
            <w:tcW w:w="3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530" w:type="dxa"/>
            <w:tcBorders/>
            <w:vAlign w:val="center"/>
          </w:tcPr>
          <w:p>
            <w:pPr>
              <w:pStyle w:val="TableContents"/>
              <w:bidi w:val="0"/>
              <w:spacing w:before="0" w:after="1"/>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530" w:type="dxa"/>
            <w:tcBorders/>
            <w:shd w:fill="CCEEFF" w:val="clear"/>
            <w:vAlign w:val="center"/>
          </w:tcPr>
          <w:p>
            <w:pPr>
              <w:pStyle w:val="TableContents"/>
              <w:bidi w:val="0"/>
              <w:spacing w:before="0" w:after="1"/>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2,878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89" w:right="0" w:hanging="0"/>
        <w:jc w:val="both"/>
        <w:rPr>
          <w:rFonts w:ascii="Times New Roman;Times;serif" w:hAnsi="Times New Roman;Times;serif"/>
          <w:sz w:val="20"/>
        </w:rPr>
      </w:pPr>
      <w:bookmarkStart w:id="1340" w:name="Tc_C7S8lfzAtEu80s-O5R0WOA_9_5"/>
      <w:bookmarkStart w:id="1341" w:name="Tc_x9KDTdi1AEqJSGanrGg7uQ_9_0"/>
      <w:bookmarkStart w:id="1342" w:name="Tc_PxF6NQzpS0Wdj22cx881lg_8_5"/>
      <w:bookmarkStart w:id="1343" w:name="Tc_Jiv9ik6SFkeyp71FyV_lmw_8_0"/>
      <w:bookmarkStart w:id="1344" w:name="Tc_t3bE3Bsyl0ayiML8_uoZlQ_7_5"/>
      <w:bookmarkStart w:id="1345" w:name="Tc_6P-GVvxd_kacFgTNtxQduw_7_0"/>
      <w:bookmarkStart w:id="1346" w:name="Tc_vbpxERf0602o6FIujYpjRA_6_5"/>
      <w:bookmarkStart w:id="1347" w:name="Tc_82zTGvfnf0yMyzBY4HqMAA_6_0"/>
      <w:bookmarkStart w:id="1348" w:name="Tc_75Z2HTdp6kWVw_kJTuYcFw_5_5"/>
      <w:bookmarkStart w:id="1349" w:name="Tc_YXp66tvJtU-cVwItHvYGsw_5_0"/>
      <w:bookmarkStart w:id="1350" w:name="Tc_sEBdm8H2FEqRn3mUi8QDhw_4_5"/>
      <w:bookmarkStart w:id="1351" w:name="Tc_hdLwIhs-5kuMdVDdVVxITw_4_2"/>
      <w:bookmarkStart w:id="1352" w:name="Tc_rQkkctCtOkeAbokcVrMWEw_3_5"/>
      <w:bookmarkStart w:id="1353" w:name="Tc_gn8mkUin6EKgYvv8NwUHoA_3_2"/>
      <w:bookmarkStart w:id="1354" w:name="Tc_nM2G1SsLL0GxGHfkgRCFiA_2_5"/>
      <w:bookmarkStart w:id="1355" w:name="Tc_RE0j15V3uEmCbset2-LE5g_2_2"/>
      <w:bookmarkStart w:id="1356" w:name="Tc_8q-7QhOXPkurAyK15-LYtA_1_5"/>
      <w:bookmarkStart w:id="1357" w:name="Tc_Mr2JzlOWnUmQA4nLTkwcIw_5_0"/>
      <w:bookmarkStart w:id="1358" w:name="Tc_14fT0hxv90qfLyj-p6Ez4Q_4_0"/>
      <w:bookmarkStart w:id="1359" w:name="Tc_6O8M98JTOEyhwTMpwVRSEA_3_0"/>
      <w:bookmarkStart w:id="1360" w:name="Tc_Hc6h8WJYjE28uHKgGLQKlg_2_4"/>
      <w:bookmarkStart w:id="1361" w:name="Tc_Kb7F_BM2hk67F6kmqqbI4w_2_2"/>
      <w:bookmarkStart w:id="1362" w:name="Tc_oS27sxvodEmHaW-jdv392A_2_0"/>
      <w:bookmarkStart w:id="1363" w:name="Tc_oYZV-rv6BUeODKmxN-TU6Q_1_4"/>
      <w:bookmarkStart w:id="1364" w:name="Tc_MKJTAzh0E0KDC08uLetu9w_1_2"/>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r>
        <w:rPr>
          <w:rFonts w:ascii="Times New Roman;Times;serif" w:hAnsi="Times New Roman;Times;serif"/>
          <w:sz w:val="20"/>
        </w:rPr>
        <w:t>The total fair value of options vested during the three-month periods ended June 30, 2026 and 2025 was $0.8 million and $1.4 million, respectively.</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The total fair value of options vested during the six-month periods ended June 30, 2026 and 2025 was $1.5 million and $3.4 million, respectively.</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The weighted-average grant date fair value of options granted during the six-month periods ended June 30, 2026 and 2025 was $6.22 and $3.85 per share, respectively.</w:t>
      </w:r>
    </w:p>
    <w:p>
      <w:pPr>
        <w:pStyle w:val="TextBody"/>
        <w:bidi w:val="0"/>
        <w:spacing w:before="0" w:after="0"/>
        <w:ind w:left="0" w:right="0" w:hanging="0"/>
        <w:jc w:val="left"/>
        <w:rPr/>
      </w:pPr>
      <w:r>
        <w:rPr/>
        <w:t>​</w:t>
      </w:r>
    </w:p>
    <w:tbl>
      <w:tblPr>
        <w:tblW w:w="5150" w:type="dxa"/>
        <w:jc w:val="left"/>
        <w:tblInd w:w="0" w:type="dxa"/>
        <w:tblLayout w:type="fixed"/>
        <w:tblCellMar>
          <w:top w:w="0" w:type="dxa"/>
          <w:left w:w="0" w:type="dxa"/>
          <w:bottom w:w="0" w:type="dxa"/>
          <w:right w:w="0" w:type="dxa"/>
        </w:tblCellMar>
      </w:tblPr>
      <w:tblGrid>
        <w:gridCol w:w="2131"/>
        <w:gridCol w:w="346"/>
        <w:gridCol w:w="1141"/>
        <w:gridCol w:w="346"/>
        <w:gridCol w:w="118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53185" cy="175260"/>
                      <wp:effectExtent l="0" t="0" r="0" b="0"/>
                      <wp:wrapNone/>
                      <wp:docPr id="210" name="Frame21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24535" cy="175260"/>
                      <wp:effectExtent l="0" t="0" r="0" b="0"/>
                      <wp:wrapNone/>
                      <wp:docPr id="212" name="Frame2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53110" cy="175260"/>
                      <wp:effectExtent l="0" t="0" r="0" b="0"/>
                      <wp:wrapNone/>
                      <wp:docPr id="214" name="Frame21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4.20 - 4.21%</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3.81 - 4.13%</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6.01</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6.01</w:t>
            </w:r>
          </w:p>
        </w:tc>
      </w:tr>
    </w:tbl>
    <w:p>
      <w:pPr>
        <w:pStyle w:val="TextBody"/>
        <w:bidi w:val="0"/>
        <w:spacing w:before="0" w:after="240"/>
        <w:ind w:left="489" w:right="0" w:hanging="0"/>
        <w:jc w:val="both"/>
        <w:rPr/>
      </w:pPr>
      <w:r>
        <w:rPr/>
        <w:t>​</w:t>
      </w:r>
    </w:p>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As of June 30 2026, the total compensation expense relating to unvested options granted that had not yet been recognized was $4.0 million, which is expected to be realized over a period of 4.0 years. The Company will issue shares upon exercise of options from ordinary shares reserved under the Plans.</w:t>
      </w:r>
    </w:p>
    <w:p>
      <w:pPr>
        <w:pStyle w:val="TextBody"/>
        <w:bidi w:val="0"/>
        <w:spacing w:before="0" w:after="240"/>
        <w:ind w:left="489" w:right="0" w:hanging="0"/>
        <w:jc w:val="both"/>
        <w:rPr>
          <w:rFonts w:ascii="Times New Roman;Times;serif" w:hAnsi="Times New Roman;Times;serif"/>
          <w:b/>
          <w:i/>
          <w:sz w:val="20"/>
        </w:rPr>
      </w:pPr>
      <w:r>
        <w:rPr>
          <w:rFonts w:ascii="Times New Roman;Times;serif" w:hAnsi="Times New Roman;Times;serif"/>
          <w:b/>
          <w:i/>
          <w:sz w:val="20"/>
        </w:rPr>
        <w:t xml:space="preserve">Restricted Share Units </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A summary of the Company’s RSU activity related to employees, non-employee members of the board of directors and non-employee consultants as of December 31, 2025 and for the six-month period ended June 30, 2026 is as follows:</w:t>
      </w:r>
    </w:p>
    <w:p>
      <w:pPr>
        <w:pStyle w:val="TextBody"/>
        <w:bidi w:val="0"/>
        <w:spacing w:before="0" w:after="0"/>
        <w:ind w:left="0" w:right="0" w:hanging="0"/>
        <w:jc w:val="left"/>
        <w:rPr/>
      </w:pPr>
      <w:r>
        <w:rPr/>
        <w:t>​</w:t>
      </w:r>
    </w:p>
    <w:tbl>
      <w:tblPr>
        <w:tblW w:w="5888" w:type="dxa"/>
        <w:jc w:val="left"/>
        <w:tblInd w:w="0" w:type="dxa"/>
        <w:tblLayout w:type="fixed"/>
        <w:tblCellMar>
          <w:top w:w="0" w:type="dxa"/>
          <w:left w:w="0" w:type="dxa"/>
          <w:bottom w:w="0" w:type="dxa"/>
          <w:right w:w="0" w:type="dxa"/>
        </w:tblCellMar>
      </w:tblPr>
      <w:tblGrid>
        <w:gridCol w:w="2941"/>
        <w:gridCol w:w="109"/>
        <w:gridCol w:w="346"/>
        <w:gridCol w:w="1051"/>
        <w:gridCol w:w="346"/>
        <w:gridCol w:w="279"/>
        <w:gridCol w:w="81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67535" cy="175260"/>
                      <wp:effectExtent l="0" t="0" r="0" b="0"/>
                      <wp:wrapNone/>
                      <wp:docPr id="215" name="Frame21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67385" cy="175260"/>
                      <wp:effectExtent l="0" t="0" r="0" b="0"/>
                      <wp:wrapNone/>
                      <wp:docPr id="218" name="Frame21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7165" cy="175260"/>
                      <wp:effectExtent l="0" t="0" r="0" b="0"/>
                      <wp:wrapNone/>
                      <wp:docPr id="220" name="Frame22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18160" cy="175260"/>
                      <wp:effectExtent l="0" t="0" r="0" b="0"/>
                      <wp:wrapNone/>
                      <wp:docPr id="221" name="Frame22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Restricted</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 Units</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6,184,250</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3,609,244</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(1,939,250)</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7,846,244</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8.56</w:t>
            </w:r>
          </w:p>
        </w:tc>
      </w:tr>
    </w:tbl>
    <w:p>
      <w:pPr>
        <w:pStyle w:val="TextBody"/>
        <w:bidi w:val="0"/>
        <w:spacing w:before="0" w:after="240"/>
        <w:ind w:left="490" w:right="0" w:hanging="0"/>
        <w:jc w:val="both"/>
        <w:rPr/>
      </w:pPr>
      <w:r>
        <w:rPr/>
        <w:t>​</w:t>
      </w:r>
    </w:p>
    <w:p>
      <w:pPr>
        <w:pStyle w:val="TextBody"/>
        <w:pBdr/>
        <w:shd w:fill="FFFFFF" w:val="clear"/>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 xml:space="preserve">RSUs granted generally vest 50% on the second anniversary of the date of grant and 25% on the third and </w:t>
      </w:r>
      <w:r>
        <w:rPr>
          <w:rFonts w:ascii="Times New Roman;Times;serif" w:hAnsi="Times New Roman;Times;serif"/>
          <w:b w:val="false"/>
          <w:i w:val="false"/>
          <w:caps w:val="false"/>
          <w:smallCaps w:val="false"/>
          <w:sz w:val="20"/>
        </w:rPr>
        <w:t>fourth</w:t>
      </w:r>
      <w:r>
        <w:rPr>
          <w:rFonts w:ascii="Times New Roman;Times;serif" w:hAnsi="Times New Roman;Times;serif"/>
          <w:sz w:val="20"/>
        </w:rPr>
        <w:t xml:space="preserve"> anniversaries of the date of grant. Annual RSUs granted to directors generally vest in a single installment on the earliest to occur of the first anniversary of the grant date or the day immediately prior to the date of the next annual meeting of the Company’s shareholders occurring after the date of grant. The RSUs granted to the directors in June 2021 will be paid on or within 30 days after the date a director ceases to serve on the board. For RSUs granted in June 2022 and future years, the directors may annually elect whether to defer the payment of their annual RSU awards under the Deferred Compensation Plan for Non-Employee Directors, which was adopted by the board on December 17, 2021. As of June 30, 2026, there were 722,500 vested shares that have been deferred and are excluded from ordinary shares outstanding. The related share-based compensation expense, which is recognized ratably over the requisite service period, is included in general and administrative and research and development expenses, as applicable, in the condensed consolidated statements of operations and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489" w:right="0" w:hanging="0"/>
        <w:jc w:val="both"/>
        <w:rPr>
          <w:rFonts w:ascii="Times New Roman;Times;serif" w:hAnsi="Times New Roman;Times;serif"/>
          <w:sz w:val="20"/>
        </w:rPr>
      </w:pPr>
      <w:bookmarkStart w:id="1365" w:name="_8d89241d_5578_435e_a89e_12954f177bef_3"/>
      <w:bookmarkStart w:id="1366" w:name="_8d89241d_5578_435e_a89e_12954f177bef_2"/>
      <w:bookmarkStart w:id="1367" w:name="_8d89241d_5578_435e_a89e_12954f177bef"/>
      <w:bookmarkStart w:id="1368" w:name="Tc_NDmKrke7Dk6HT8KIh4y85A_5_5"/>
      <w:bookmarkStart w:id="1369" w:name="Tc_Z_W9aHX_fEWtRpBLFTJraw_5_2"/>
      <w:bookmarkStart w:id="1370" w:name="Tc_8N5p6_gx0k6I2stVaj1KvQ_5_0"/>
      <w:bookmarkStart w:id="1371" w:name="Tc_OVjl_AF8W0S65YXgbJ61Fg_4_0"/>
      <w:bookmarkStart w:id="1372" w:name="Tc_iTvBjVRA0ke_0rn67FQ29A_3_5"/>
      <w:bookmarkStart w:id="1373" w:name="Tc_QzNEtBDDTEe9Mv92FdoMjQ_3_2"/>
      <w:bookmarkStart w:id="1374" w:name="Tc_qG416f9ur0WUMdz81JoCHA_3_0"/>
      <w:bookmarkStart w:id="1375" w:name="Tc_kjqLhnuNY0-2dZatdXGqnA_2_5"/>
      <w:bookmarkStart w:id="1376" w:name="Tc_6euMZOxrIk6uQABCbwnRKg_2_2"/>
      <w:bookmarkStart w:id="1377" w:name="Tc_c4PeFbN6Skmoo2z7Io6iUA_1_2"/>
      <w:bookmarkStart w:id="1378" w:name="_2ef9053c_1402_4e12_9609_6719cf3eb417"/>
      <w:bookmarkStart w:id="1379" w:name="Tc_M4B-2Y2_EUyRVdgxRHeyFA_5_5"/>
      <w:bookmarkStart w:id="1380" w:name="Tc_cB8_PQmk60yKV7W_ct6FyA_5_2"/>
      <w:bookmarkStart w:id="1381" w:name="Tc_UwoP4_LHSUKEG_8h2Kn2Iw_5_0"/>
      <w:bookmarkStart w:id="1382" w:name="Tc_DYmVnOK8REyqtbYuarDuUw_4_0"/>
      <w:bookmarkStart w:id="1383" w:name="Tc_hURU7gPhMEaYtJITAOp7ew_3_5"/>
      <w:bookmarkStart w:id="1384" w:name="Tc_mhUFOcAOPUOMFSklqS0baA_3_2"/>
      <w:bookmarkStart w:id="1385" w:name="Tc_nEXbRxq0uUCceSDhTXONwg_3_0"/>
      <w:bookmarkStart w:id="1386" w:name="Tc_8uyQ3OYSgE6LGcCwHsX_lA_2_5"/>
      <w:bookmarkStart w:id="1387" w:name="Tc_hE-9oj9j10WtbZEGWWo6NA_2_2"/>
      <w:bookmarkStart w:id="1388" w:name="Tc_OyGsHVh5KUWnou5UAUR98Q_1_2"/>
      <w:bookmarkStart w:id="1389" w:name="_222b37c9_5041_4458_9576_39a32892a902"/>
      <w:bookmarkStart w:id="1390" w:name="Tc_mpzAqPpUQkatQ67AvnHlkA_5_5"/>
      <w:bookmarkStart w:id="1391" w:name="Tc_7P_Lt3inskil4X2BGrITag_5_2"/>
      <w:bookmarkStart w:id="1392" w:name="Tc_0QSFtS0fdkeU8E567vUrLw_5_0"/>
      <w:bookmarkStart w:id="1393" w:name="Tc_fc0LnzH92Ue8PaXUkFtXeQ_4_0"/>
      <w:bookmarkStart w:id="1394" w:name="Tc_6Y1oNC_b0ka6V-jNIHffWA_3_5"/>
      <w:bookmarkStart w:id="1395" w:name="Tc_uGWjOt2LZkmwupN9I-xnmg_3_2"/>
      <w:bookmarkStart w:id="1396" w:name="Tc_uszW-GFHa0eDH1GurhyDSw_3_0"/>
      <w:bookmarkStart w:id="1397" w:name="Tc_KDSQbt3bQ0mQ31bqE5tSZQ_2_5"/>
      <w:bookmarkStart w:id="1398" w:name="Tc_5U0iivV9OkOq4BATB4Pg7w_2_2"/>
      <w:bookmarkStart w:id="1399" w:name="Tc_Qc63SGC7o06X-YGYs47dBg_1_2"/>
      <w:bookmarkStart w:id="1400" w:name="_4659437e_32a9_40bf_9b3c_48ab5ceadd1c"/>
      <w:bookmarkStart w:id="1401" w:name="Tc_87taCw4W5kWWw2ioEsKsPQ_5_5"/>
      <w:bookmarkStart w:id="1402" w:name="Tc_7Yrup3NnE0uqXnLzi2o8KA_5_2"/>
      <w:bookmarkStart w:id="1403" w:name="Tc_b-Oqmv_oSEyW6iEnqdXD5Q_5_0"/>
      <w:bookmarkStart w:id="1404" w:name="Tc_ARC_nT7lFE656oiLq5dalg_4_0"/>
      <w:bookmarkStart w:id="1405" w:name="Tc_V5uaS1ZoUEOMcqC5Wz3Maw_3_5"/>
      <w:bookmarkStart w:id="1406" w:name="Tc_-Vjp2lBrLEGULqQAtDQxlw_3_2"/>
      <w:bookmarkStart w:id="1407" w:name="Tc_a9SsbaQynEG8jbL8JMdCBQ_3_0"/>
      <w:bookmarkStart w:id="1408" w:name="Tc_cEkXh_vUq0ehPRMu_OunLA_2_5"/>
      <w:bookmarkStart w:id="1409" w:name="Tc_LuT_S-ZEs0G-Oda8CeyHUQ_2_2"/>
      <w:bookmarkStart w:id="1410" w:name="Tc_ezUMgYFRpEK90rFlWTRNVA_1_2"/>
      <w:bookmarkStart w:id="1411" w:name="_3c04ed43_1bbb_42a4_9345_ccc4486d0cdd"/>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sz w:val="20"/>
        </w:rPr>
        <w:t>The Company recorded the following share-based compensation expense in connection with the RSUs for the three-month and six-month periods ended June 30, 2026 and 2025 (in thousands):</w:t>
      </w:r>
    </w:p>
    <w:tbl>
      <w:tblPr>
        <w:tblW w:w="6421" w:type="dxa"/>
        <w:jc w:val="left"/>
        <w:tblInd w:w="0" w:type="dxa"/>
        <w:tblLayout w:type="fixed"/>
        <w:tblCellMar>
          <w:top w:w="0" w:type="dxa"/>
          <w:left w:w="0" w:type="dxa"/>
          <w:bottom w:w="0" w:type="dxa"/>
          <w:right w:w="0" w:type="dxa"/>
        </w:tblCellMar>
      </w:tblPr>
      <w:tblGrid>
        <w:gridCol w:w="2731"/>
        <w:gridCol w:w="346"/>
        <w:gridCol w:w="348"/>
        <w:gridCol w:w="942"/>
        <w:gridCol w:w="571"/>
        <w:gridCol w:w="348"/>
        <w:gridCol w:w="1135"/>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34185" cy="175260"/>
                      <wp:effectExtent l="0" t="0" r="0" b="0"/>
                      <wp:wrapNone/>
                      <wp:docPr id="222" name="Frame22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0980" cy="175260"/>
                      <wp:effectExtent l="0" t="0" r="0" b="0"/>
                      <wp:wrapNone/>
                      <wp:docPr id="224" name="Frame224"/>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98170" cy="175260"/>
                      <wp:effectExtent l="0" t="0" r="0" b="0"/>
                      <wp:wrapNone/>
                      <wp:docPr id="225" name="Frame225"/>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6" name="Frame2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0980" cy="175260"/>
                      <wp:effectExtent l="0" t="0" r="0" b="0"/>
                      <wp:wrapNone/>
                      <wp:docPr id="227" name="Frame227"/>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20725" cy="175260"/>
                      <wp:effectExtent l="0" t="0" r="0" b="0"/>
                      <wp:wrapNone/>
                      <wp:docPr id="228" name="Frame228"/>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Three-Month Periods Ended June 30,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71" w:type="dxa"/>
            <w:tcBorders/>
            <w:vAlign w:val="center"/>
          </w:tcPr>
          <w:p>
            <w:pPr>
              <w:pStyle w:val="TableContents"/>
              <w:bidi w:val="0"/>
              <w:spacing w:before="0" w:after="0"/>
              <w:ind w:left="0" w:right="0" w:hanging="0"/>
              <w:jc w:val="left"/>
              <w:rPr/>
            </w:pPr>
            <w:r>
              <w:rPr/>
              <w:t>  ​ ​ ​</w:t>
            </w:r>
          </w:p>
        </w:tc>
        <w:tc>
          <w:tcPr>
            <w:tcW w:w="14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571"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w:t>
            </w:r>
          </w:p>
        </w:tc>
        <w:tc>
          <w:tcPr>
            <w:tcW w:w="571"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w:t>
            </w:r>
          </w:p>
        </w:tc>
        <w:tc>
          <w:tcPr>
            <w:tcW w:w="571"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4,322</w:t>
            </w:r>
          </w:p>
        </w:tc>
      </w:tr>
    </w:tbl>
    <w:p>
      <w:pPr>
        <w:pStyle w:val="TextBody"/>
        <w:bidi w:val="0"/>
        <w:spacing w:before="0" w:after="0"/>
        <w:ind w:left="0" w:right="0" w:hanging="0"/>
        <w:jc w:val="left"/>
        <w:rPr/>
      </w:pPr>
      <w:r>
        <w:rPr/>
        <w:t>​</w:t>
      </w:r>
    </w:p>
    <w:tbl>
      <w:tblPr>
        <w:tblW w:w="6181" w:type="dxa"/>
        <w:jc w:val="left"/>
        <w:tblInd w:w="0" w:type="dxa"/>
        <w:tblLayout w:type="fixed"/>
        <w:tblCellMar>
          <w:top w:w="0" w:type="dxa"/>
          <w:left w:w="0" w:type="dxa"/>
          <w:bottom w:w="0" w:type="dxa"/>
          <w:right w:w="0" w:type="dxa"/>
        </w:tblCellMar>
      </w:tblPr>
      <w:tblGrid>
        <w:gridCol w:w="2731"/>
        <w:gridCol w:w="346"/>
        <w:gridCol w:w="323"/>
        <w:gridCol w:w="874"/>
        <w:gridCol w:w="530"/>
        <w:gridCol w:w="323"/>
        <w:gridCol w:w="1054"/>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34185" cy="175260"/>
                      <wp:effectExtent l="0" t="0" r="0" b="0"/>
                      <wp:wrapNone/>
                      <wp:docPr id="229" name="Frame22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5105" cy="175260"/>
                      <wp:effectExtent l="0" t="0" r="0" b="0"/>
                      <wp:wrapNone/>
                      <wp:docPr id="231" name="Frame231"/>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54990" cy="175260"/>
                      <wp:effectExtent l="0" t="0" r="0" b="0"/>
                      <wp:wrapNone/>
                      <wp:docPr id="232" name="Frame23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36550" cy="175260"/>
                      <wp:effectExtent l="0" t="0" r="0" b="0"/>
                      <wp:wrapNone/>
                      <wp:docPr id="233" name="Frame233"/>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5105" cy="175260"/>
                      <wp:effectExtent l="0" t="0" r="0" b="0"/>
                      <wp:wrapNone/>
                      <wp:docPr id="234" name="Frame234"/>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69290" cy="175260"/>
                      <wp:effectExtent l="0" t="0" r="0" b="0"/>
                      <wp:wrapNone/>
                      <wp:docPr id="235" name="Frame235"/>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Six-Month Periods Ended June 30,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30" w:type="dxa"/>
            <w:tcBorders/>
            <w:vAlign w:val="center"/>
          </w:tcPr>
          <w:p>
            <w:pPr>
              <w:pStyle w:val="TableContents"/>
              <w:bidi w:val="0"/>
              <w:spacing w:before="0" w:after="0"/>
              <w:ind w:left="0" w:right="0" w:hanging="0"/>
              <w:jc w:val="left"/>
              <w:rPr/>
            </w:pPr>
            <w:r>
              <w:rPr/>
              <w:t>  ​ ​ ​</w:t>
            </w:r>
          </w:p>
        </w:tc>
        <w:tc>
          <w:tcPr>
            <w:tcW w:w="13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530"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530"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w:t>
            </w:r>
          </w:p>
        </w:tc>
        <w:tc>
          <w:tcPr>
            <w:tcW w:w="530"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7,673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As of June 30, 2026, the total compensation expense relating to unvested RSUs granted that had not yet been recognized was $59.2 million, which is expected to be realized over a period of 4.0 years.</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 xml:space="preserve">To satisfy employee minimum statutory tax withholding requirements for restricted share units that vest, the Company withholds a portion of the vested ordinary shares. During the six months ended June 30, 2026 and 2025, the Company withheld 798,155 and 405,459 ordinary shares with a total value of $6.0 million and $2.8 million, respectively. These amounts are presented as a cash outflow from financing activities in the accompanying condensed consolidated statement of cash flows. </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During the three-month and six-month periods ended June 30, 2026 and 2025, the Company recognized total share-based compensation expense in the accompanying condensed consolidated statements of operations and comprehensive income (loss) as follows (in thousands):</w:t>
      </w:r>
    </w:p>
    <w:p>
      <w:pPr>
        <w:pStyle w:val="TextBody"/>
        <w:bidi w:val="0"/>
        <w:spacing w:before="0" w:after="0"/>
        <w:ind w:left="0" w:right="0" w:hanging="0"/>
        <w:jc w:val="left"/>
        <w:rPr/>
      </w:pPr>
      <w:r>
        <w:rPr/>
        <w:t>​</w:t>
      </w:r>
    </w:p>
    <w:tbl>
      <w:tblPr>
        <w:tblW w:w="6421" w:type="dxa"/>
        <w:jc w:val="left"/>
        <w:tblInd w:w="0" w:type="dxa"/>
        <w:tblLayout w:type="fixed"/>
        <w:tblCellMar>
          <w:top w:w="0" w:type="dxa"/>
          <w:left w:w="0" w:type="dxa"/>
          <w:bottom w:w="0" w:type="dxa"/>
          <w:right w:w="0" w:type="dxa"/>
        </w:tblCellMar>
      </w:tblPr>
      <w:tblGrid>
        <w:gridCol w:w="2731"/>
        <w:gridCol w:w="346"/>
        <w:gridCol w:w="348"/>
        <w:gridCol w:w="942"/>
        <w:gridCol w:w="571"/>
        <w:gridCol w:w="348"/>
        <w:gridCol w:w="1135"/>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34185" cy="175260"/>
                      <wp:effectExtent l="0" t="0" r="0" b="0"/>
                      <wp:wrapNone/>
                      <wp:docPr id="236" name="Frame236"/>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20980" cy="175260"/>
                      <wp:effectExtent l="0" t="0" r="0" b="0"/>
                      <wp:wrapNone/>
                      <wp:docPr id="238" name="Frame23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98170" cy="175260"/>
                      <wp:effectExtent l="0" t="0" r="0" b="0"/>
                      <wp:wrapNone/>
                      <wp:docPr id="239" name="Frame239"/>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585" cy="175260"/>
                      <wp:effectExtent l="0" t="0" r="0" b="0"/>
                      <wp:wrapNone/>
                      <wp:docPr id="240" name="Frame2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20980" cy="175260"/>
                      <wp:effectExtent l="0" t="0" r="0" b="0"/>
                      <wp:wrapNone/>
                      <wp:docPr id="241" name="Frame24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20725" cy="175260"/>
                      <wp:effectExtent l="0" t="0" r="0" b="0"/>
                      <wp:wrapNone/>
                      <wp:docPr id="242" name="Frame242"/>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Three-Month Periods Ended June 30, </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71" w:type="dxa"/>
            <w:tcBorders/>
            <w:vAlign w:val="center"/>
          </w:tcPr>
          <w:p>
            <w:pPr>
              <w:pStyle w:val="TableContents"/>
              <w:bidi w:val="0"/>
              <w:spacing w:before="0" w:after="1"/>
              <w:ind w:left="0" w:right="0" w:hanging="0"/>
              <w:jc w:val="left"/>
              <w:rPr/>
            </w:pPr>
            <w:r>
              <w:rPr/>
              <w:t>  ​ ​ ​</w:t>
            </w:r>
          </w:p>
        </w:tc>
        <w:tc>
          <w:tcPr>
            <w:tcW w:w="14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w:t>
            </w:r>
          </w:p>
        </w:tc>
        <w:tc>
          <w:tcPr>
            <w:tcW w:w="571"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w:t>
            </w:r>
          </w:p>
        </w:tc>
        <w:tc>
          <w:tcPr>
            <w:tcW w:w="571" w:type="dxa"/>
            <w:tcBorders/>
            <w:vAlign w:val="center"/>
          </w:tcPr>
          <w:p>
            <w:pPr>
              <w:pStyle w:val="TableContents"/>
              <w:bidi w:val="0"/>
              <w:spacing w:before="0" w:after="1"/>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3,779</w:t>
            </w:r>
          </w:p>
        </w:tc>
        <w:tc>
          <w:tcPr>
            <w:tcW w:w="571" w:type="dxa"/>
            <w:tcBorders/>
            <w:shd w:fill="CCEEFF" w:val="clear"/>
            <w:vAlign w:val="center"/>
          </w:tcPr>
          <w:p>
            <w:pPr>
              <w:pStyle w:val="TableContents"/>
              <w:bidi w:val="0"/>
              <w:spacing w:before="0" w:after="1"/>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5,664</w:t>
            </w:r>
          </w:p>
        </w:tc>
      </w:tr>
    </w:tbl>
    <w:p>
      <w:pPr>
        <w:pStyle w:val="TextBody"/>
        <w:bidi w:val="0"/>
        <w:spacing w:before="0" w:after="240"/>
        <w:ind w:left="0" w:right="0" w:hanging="0"/>
        <w:jc w:val="both"/>
        <w:rPr/>
      </w:pPr>
      <w:r>
        <w:rPr/>
        <w:t>​</w:t>
      </w:r>
    </w:p>
    <w:tbl>
      <w:tblPr>
        <w:tblW w:w="6181" w:type="dxa"/>
        <w:jc w:val="left"/>
        <w:tblInd w:w="0" w:type="dxa"/>
        <w:tblLayout w:type="fixed"/>
        <w:tblCellMar>
          <w:top w:w="0" w:type="dxa"/>
          <w:left w:w="0" w:type="dxa"/>
          <w:bottom w:w="0" w:type="dxa"/>
          <w:right w:w="0" w:type="dxa"/>
        </w:tblCellMar>
      </w:tblPr>
      <w:tblGrid>
        <w:gridCol w:w="2731"/>
        <w:gridCol w:w="346"/>
        <w:gridCol w:w="307"/>
        <w:gridCol w:w="831"/>
        <w:gridCol w:w="504"/>
        <w:gridCol w:w="307"/>
        <w:gridCol w:w="1155"/>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734185" cy="175260"/>
                      <wp:effectExtent l="0" t="0" r="0" b="0"/>
                      <wp:wrapNone/>
                      <wp:docPr id="243" name="Frame24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94945" cy="175260"/>
                      <wp:effectExtent l="0" t="0" r="0" b="0"/>
                      <wp:wrapNone/>
                      <wp:docPr id="245" name="Frame24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27685" cy="175260"/>
                      <wp:effectExtent l="0" t="0" r="0" b="0"/>
                      <wp:wrapNone/>
                      <wp:docPr id="246" name="Frame246"/>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20040" cy="175260"/>
                      <wp:effectExtent l="0" t="0" r="0" b="0"/>
                      <wp:wrapNone/>
                      <wp:docPr id="247" name="Frame247"/>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94945" cy="175260"/>
                      <wp:effectExtent l="0" t="0" r="0" b="0"/>
                      <wp:wrapNone/>
                      <wp:docPr id="248" name="Frame24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33425" cy="175260"/>
                      <wp:effectExtent l="0" t="0" r="0" b="0"/>
                      <wp:wrapNone/>
                      <wp:docPr id="249" name="Frame249"/>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Six-Month Periods Ended June 30, </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04" w:type="dxa"/>
            <w:tcBorders/>
            <w:vAlign w:val="center"/>
          </w:tcPr>
          <w:p>
            <w:pPr>
              <w:pStyle w:val="TableContents"/>
              <w:bidi w:val="0"/>
              <w:spacing w:before="0" w:after="1"/>
              <w:ind w:left="0" w:right="0" w:hanging="0"/>
              <w:jc w:val="left"/>
              <w:rPr/>
            </w:pPr>
            <w:r>
              <w:rPr/>
              <w:t>  ​ ​ ​</w:t>
            </w:r>
          </w:p>
        </w:tc>
        <w:tc>
          <w:tcPr>
            <w:tcW w:w="14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c>
          <w:tcPr>
            <w:tcW w:w="504"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5,505</w:t>
            </w:r>
          </w:p>
        </w:tc>
        <w:tc>
          <w:tcPr>
            <w:tcW w:w="504"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6,412</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7,433</w:t>
            </w:r>
          </w:p>
        </w:tc>
        <w:tc>
          <w:tcPr>
            <w:tcW w:w="504"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10,551</w:t>
            </w:r>
          </w:p>
        </w:tc>
      </w:tr>
    </w:tbl>
    <w:p>
      <w:pPr>
        <w:pStyle w:val="TextBody"/>
        <w:bidi w:val="0"/>
        <w:spacing w:before="0" w:after="240"/>
        <w:ind w:left="0" w:right="0" w:firstLine="90"/>
        <w:jc w:val="both"/>
        <w:rPr/>
      </w:pPr>
      <w:r>
        <w:rPr/>
        <w:t>​</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The Company does not expect to realize any tax benefits from its share option activity or the recognition of share-based compensation expense because it maintains a full valuation allowance against its deferred tax assets. While the Company may report taxable income in certain periods as a result of non-recurring transactions, management has concluded that such income is not sufficient positive evidence to overcome the significant negative evidence supporting the valuation allowance. Accordingly, no amounts related to excess tax benefits have been reported in cash flows from operations or cash flows from financing activities for the six-month periods ended June 30, 2026 and 2025.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40"/>
        <w:ind w:left="0" w:right="0" w:hanging="0"/>
        <w:jc w:val="both"/>
        <w:rPr>
          <w:rFonts w:ascii="Times New Roman;Times;serif" w:hAnsi="Times New Roman;Times;serif"/>
          <w:b/>
          <w:sz w:val="20"/>
        </w:rPr>
      </w:pPr>
      <w:r>
        <w:rPr>
          <w:rFonts w:ascii="Times New Roman;Times;serif" w:hAnsi="Times New Roman;Times;serif"/>
          <w:b/>
          <w:sz w:val="20"/>
        </w:rPr>
        <w:t>7.       Ordinary Shares</w:t>
      </w:r>
    </w:p>
    <w:p>
      <w:pPr>
        <w:pStyle w:val="TextBody"/>
        <w:bidi w:val="0"/>
        <w:spacing w:before="0" w:after="100"/>
        <w:ind w:left="490" w:right="0" w:hanging="0"/>
        <w:jc w:val="both"/>
        <w:rPr>
          <w:rFonts w:ascii="Times New Roman;Times;serif" w:hAnsi="Times New Roman;Times;serif"/>
          <w:b/>
          <w:i/>
          <w:sz w:val="20"/>
        </w:rPr>
      </w:pPr>
      <w:r>
        <w:rPr>
          <w:rFonts w:ascii="Times New Roman;Times;serif" w:hAnsi="Times New Roman;Times;serif"/>
          <w:b/>
          <w:i/>
          <w:sz w:val="20"/>
        </w:rPr>
        <w:t>At-the-Market</w:t>
      </w:r>
    </w:p>
    <w:p>
      <w:pPr>
        <w:pStyle w:val="TextBody"/>
        <w:bidi w:val="0"/>
        <w:spacing w:before="0" w:after="0"/>
        <w:ind w:left="490" w:right="0" w:hanging="0"/>
        <w:jc w:val="both"/>
        <w:rPr>
          <w:rFonts w:ascii="Times New Roman;Times;serif" w:hAnsi="Times New Roman;Times;serif"/>
          <w:b/>
          <w:sz w:val="20"/>
        </w:rPr>
      </w:pPr>
      <w:r>
        <w:rPr>
          <w:rFonts w:ascii="Times New Roman;Times;serif" w:hAnsi="Times New Roman;Times;serif"/>
          <w:b w:val="false"/>
          <w:sz w:val="20"/>
        </w:rPr>
        <w:t xml:space="preserve">In December 2023, the Company entered into an </w:t>
      </w:r>
      <w:r>
        <w:rPr>
          <w:rFonts w:ascii="Times New Roman;Times;serif" w:hAnsi="Times New Roman;Times;serif"/>
          <w:b/>
          <w:sz w:val="20"/>
        </w:rPr>
        <w:t>“</w:t>
      </w:r>
      <w:r>
        <w:rPr>
          <w:rFonts w:ascii="Times New Roman;Times;serif" w:hAnsi="Times New Roman;Times;serif"/>
          <w:b w:val="false"/>
          <w:sz w:val="20"/>
        </w:rPr>
        <w:t>at-the-market</w:t>
      </w:r>
      <w:r>
        <w:rPr>
          <w:rFonts w:ascii="Times New Roman;Times;serif" w:hAnsi="Times New Roman;Times;serif"/>
          <w:b/>
          <w:sz w:val="20"/>
        </w:rPr>
        <w:t xml:space="preserve">” </w:t>
      </w:r>
      <w:r>
        <w:rPr>
          <w:rFonts w:ascii="Times New Roman;Times;serif" w:hAnsi="Times New Roman;Times;serif"/>
          <w:b w:val="false"/>
          <w:sz w:val="20"/>
        </w:rPr>
        <w:t>sales agreement with BofA Securities, Inc., or BofA, pursuant to which the Company may sell from time to time, ordinary shares having an aggregate offering price of up to $100.0</w:t>
      </w:r>
      <w:r>
        <w:rPr>
          <w:rFonts w:ascii="Times New Roman;Times;serif" w:hAnsi="Times New Roman;Times;serif"/>
          <w:b/>
          <w:sz w:val="20"/>
        </w:rPr>
        <w:t xml:space="preserve"> </w:t>
      </w:r>
      <w:r>
        <w:rPr>
          <w:rFonts w:ascii="Times New Roman;Times;serif" w:hAnsi="Times New Roman;Times;serif"/>
          <w:b w:val="false"/>
          <w:sz w:val="20"/>
        </w:rPr>
        <w:t>million through BofA, acting as the Company’s agent. During the six-month periods ended June 30, 2026 and 2025, the Company raised gross proceeds of $28.2 million and $9.9</w:t>
      </w:r>
      <w:r>
        <w:rPr>
          <w:rFonts w:ascii="Times New Roman;Times;serif" w:hAnsi="Times New Roman;Times;serif"/>
          <w:b/>
          <w:sz w:val="20"/>
        </w:rPr>
        <w:t xml:space="preserve"> </w:t>
      </w:r>
      <w:r>
        <w:rPr>
          <w:rFonts w:ascii="Times New Roman;Times;serif" w:hAnsi="Times New Roman;Times;serif"/>
          <w:b w:val="false"/>
          <w:sz w:val="20"/>
        </w:rPr>
        <w:t>million, respectively, through the sale of 3,164,365</w:t>
      </w:r>
      <w:r>
        <w:rPr>
          <w:rFonts w:ascii="Times New Roman;Times;serif" w:hAnsi="Times New Roman;Times;serif"/>
          <w:b/>
          <w:sz w:val="20"/>
        </w:rPr>
        <w:t xml:space="preserve"> </w:t>
      </w:r>
      <w:r>
        <w:rPr>
          <w:rFonts w:ascii="Times New Roman;Times;serif" w:hAnsi="Times New Roman;Times;serif"/>
          <w:b w:val="false"/>
          <w:sz w:val="20"/>
        </w:rPr>
        <w:t>and 1,510,300</w:t>
      </w:r>
      <w:r>
        <w:rPr>
          <w:rFonts w:ascii="Times New Roman;Times;serif" w:hAnsi="Times New Roman;Times;serif"/>
          <w:b/>
          <w:sz w:val="20"/>
        </w:rPr>
        <w:t xml:space="preserve"> </w:t>
      </w:r>
      <w:r>
        <w:rPr>
          <w:rFonts w:ascii="Times New Roman;Times;serif" w:hAnsi="Times New Roman;Times;serif"/>
          <w:b w:val="false"/>
          <w:sz w:val="20"/>
        </w:rPr>
        <w:t xml:space="preserve">ordinary shares, respectively, pursuant to an “at-the-market” equity offering program. Under the </w:t>
      </w:r>
      <w:r>
        <w:rPr>
          <w:rFonts w:ascii="Times New Roman;Times;serif" w:hAnsi="Times New Roman;Times;serif"/>
          <w:b/>
          <w:sz w:val="20"/>
        </w:rPr>
        <w:t>“</w:t>
      </w:r>
      <w:r>
        <w:rPr>
          <w:rFonts w:ascii="Times New Roman;Times;serif" w:hAnsi="Times New Roman;Times;serif"/>
          <w:b w:val="false"/>
          <w:sz w:val="20"/>
        </w:rPr>
        <w:t>at-the-market</w:t>
      </w:r>
      <w:r>
        <w:rPr>
          <w:rFonts w:ascii="Times New Roman;Times;serif" w:hAnsi="Times New Roman;Times;serif"/>
          <w:b/>
          <w:sz w:val="20"/>
        </w:rPr>
        <w:t xml:space="preserve">” </w:t>
      </w:r>
      <w:r>
        <w:rPr>
          <w:rFonts w:ascii="Times New Roman;Times;serif" w:hAnsi="Times New Roman;Times;serif"/>
          <w:b w:val="false"/>
          <w:sz w:val="20"/>
        </w:rPr>
        <w:t>equity program which is currently effective and may remain available for the Company to use in the future, the Company may sell up to an additional $48.4</w:t>
      </w:r>
      <w:r>
        <w:rPr>
          <w:rFonts w:ascii="Times New Roman;Times;serif" w:hAnsi="Times New Roman;Times;serif"/>
          <w:b/>
          <w:sz w:val="20"/>
        </w:rPr>
        <w:t xml:space="preserve"> </w:t>
      </w:r>
      <w:r>
        <w:rPr>
          <w:rFonts w:ascii="Times New Roman;Times;serif" w:hAnsi="Times New Roman;Times;serif"/>
          <w:b w:val="false"/>
          <w:sz w:val="20"/>
        </w:rPr>
        <w:t xml:space="preserve">million of ordinary shares. Whether the Company chooses to affect future sales under the </w:t>
      </w:r>
      <w:r>
        <w:rPr>
          <w:rFonts w:ascii="Times New Roman;Times;serif" w:hAnsi="Times New Roman;Times;serif"/>
          <w:b/>
          <w:sz w:val="20"/>
        </w:rPr>
        <w:t>“</w:t>
      </w:r>
      <w:r>
        <w:rPr>
          <w:rFonts w:ascii="Times New Roman;Times;serif" w:hAnsi="Times New Roman;Times;serif"/>
          <w:b w:val="false"/>
          <w:sz w:val="20"/>
        </w:rPr>
        <w:t>at-the-market</w:t>
      </w:r>
      <w:r>
        <w:rPr>
          <w:rFonts w:ascii="Times New Roman;Times;serif" w:hAnsi="Times New Roman;Times;serif"/>
          <w:b/>
          <w:sz w:val="20"/>
        </w:rPr>
        <w:t xml:space="preserve">” </w:t>
      </w:r>
      <w:r>
        <w:rPr>
          <w:rFonts w:ascii="Times New Roman;Times;serif" w:hAnsi="Times New Roman;Times;serif"/>
          <w:b w:val="false"/>
          <w:sz w:val="20"/>
        </w:rPr>
        <w:t>equity offering program will depend on a number of factors, including, among others, market conditions and the trading price of the Company</w:t>
      </w:r>
      <w:r>
        <w:rPr>
          <w:rFonts w:ascii="Times New Roman;Times;serif" w:hAnsi="Times New Roman;Times;serif"/>
          <w:b/>
          <w:sz w:val="20"/>
        </w:rPr>
        <w:t>’</w:t>
      </w:r>
      <w:r>
        <w:rPr>
          <w:rFonts w:ascii="Times New Roman;Times;serif" w:hAnsi="Times New Roman;Times;serif"/>
          <w:b w:val="false"/>
          <w:sz w:val="20"/>
        </w:rPr>
        <w:t>s ordinary shares relative to other sources of capital.</w:t>
      </w:r>
    </w:p>
    <w:p>
      <w:pPr>
        <w:pStyle w:val="TextBody"/>
        <w:bidi w:val="0"/>
        <w:spacing w:before="0" w:after="0"/>
        <w:ind w:left="0" w:right="0" w:hanging="0"/>
        <w:jc w:val="left"/>
        <w:rPr/>
      </w:pPr>
      <w:r>
        <w:rPr/>
        <w:t>​</w:t>
      </w:r>
    </w:p>
    <w:p>
      <w:pPr>
        <w:pStyle w:val="TextBody"/>
        <w:bidi w:val="0"/>
        <w:spacing w:before="0" w:after="200"/>
        <w:ind w:left="490" w:right="0" w:hanging="0"/>
        <w:jc w:val="both"/>
        <w:rPr>
          <w:rFonts w:ascii="Times New Roman;Times;serif" w:hAnsi="Times New Roman;Times;serif"/>
          <w:b/>
          <w:i/>
          <w:sz w:val="20"/>
        </w:rPr>
      </w:pPr>
      <w:r>
        <w:rPr>
          <w:rFonts w:ascii="Times New Roman;Times;serif" w:hAnsi="Times New Roman;Times;serif"/>
          <w:b/>
          <w:i/>
          <w:sz w:val="20"/>
        </w:rPr>
        <w:t>Equity Financing</w:t>
      </w:r>
    </w:p>
    <w:p>
      <w:pPr>
        <w:pStyle w:val="TextBody"/>
        <w:bidi w:val="0"/>
        <w:spacing w:before="0" w:after="200"/>
        <w:ind w:left="490" w:right="0" w:hanging="0"/>
        <w:jc w:val="both"/>
        <w:rPr>
          <w:rFonts w:ascii="Times New Roman;Times;serif" w:hAnsi="Times New Roman;Times;serif"/>
          <w:b/>
          <w:sz w:val="20"/>
        </w:rPr>
      </w:pPr>
      <w:r>
        <w:rPr>
          <w:rFonts w:ascii="Times New Roman;Times;serif" w:hAnsi="Times New Roman;Times;serif"/>
          <w:b w:val="false"/>
          <w:sz w:val="20"/>
        </w:rPr>
        <w:t>On April 17, 2026, the Company completed a registered offering of 11,111,111</w:t>
      </w:r>
      <w:r>
        <w:rPr>
          <w:rFonts w:ascii="Times New Roman;Times;serif" w:hAnsi="Times New Roman;Times;serif"/>
          <w:b/>
          <w:sz w:val="20"/>
        </w:rPr>
        <w:t xml:space="preserve"> </w:t>
      </w:r>
      <w:r>
        <w:rPr>
          <w:rFonts w:ascii="Times New Roman;Times;serif" w:hAnsi="Times New Roman;Times;serif"/>
          <w:b w:val="false"/>
          <w:sz w:val="20"/>
        </w:rPr>
        <w:t>ordinary shares at a price of $9.00</w:t>
      </w:r>
      <w:r>
        <w:rPr>
          <w:rFonts w:ascii="Times New Roman;Times;serif" w:hAnsi="Times New Roman;Times;serif"/>
          <w:b/>
          <w:sz w:val="20"/>
        </w:rPr>
        <w:t xml:space="preserve"> </w:t>
      </w:r>
      <w:r>
        <w:rPr>
          <w:rFonts w:ascii="Times New Roman;Times;serif" w:hAnsi="Times New Roman;Times;serif"/>
          <w:b w:val="false"/>
          <w:sz w:val="20"/>
        </w:rPr>
        <w:t>per share, resulting in gross proceeds of approximately $100.0</w:t>
      </w:r>
      <w:r>
        <w:rPr>
          <w:rFonts w:ascii="Times New Roman;Times;serif" w:hAnsi="Times New Roman;Times;serif"/>
          <w:b/>
          <w:sz w:val="20"/>
        </w:rPr>
        <w:t xml:space="preserve"> </w:t>
      </w:r>
      <w:r>
        <w:rPr>
          <w:rFonts w:ascii="Times New Roman;Times;serif" w:hAnsi="Times New Roman;Times;serif"/>
          <w:b w:val="false"/>
          <w:sz w:val="20"/>
        </w:rPr>
        <w:t>million and net proceeds of $93.2</w:t>
      </w:r>
      <w:r>
        <w:rPr>
          <w:rFonts w:ascii="Times New Roman;Times;serif" w:hAnsi="Times New Roman;Times;serif"/>
          <w:b/>
          <w:sz w:val="20"/>
        </w:rPr>
        <w:t xml:space="preserve"> </w:t>
      </w:r>
      <w:r>
        <w:rPr>
          <w:rFonts w:ascii="Times New Roman;Times;serif" w:hAnsi="Times New Roman;Times;serif"/>
          <w:b w:val="false"/>
          <w:sz w:val="20"/>
        </w:rPr>
        <w:t xml:space="preserve">million, after deducting underwriting discounts, commissions and offering expenses payable by the Company. </w:t>
      </w:r>
    </w:p>
    <w:p>
      <w:pPr>
        <w:pStyle w:val="TextBody"/>
        <w:bidi w:val="0"/>
        <w:spacing w:before="0" w:after="200"/>
        <w:ind w:left="490" w:right="0" w:hanging="0"/>
        <w:jc w:val="both"/>
        <w:rPr>
          <w:rFonts w:ascii="Times New Roman;Times;serif" w:hAnsi="Times New Roman;Times;serif"/>
          <w:b/>
          <w:i/>
          <w:sz w:val="20"/>
        </w:rPr>
      </w:pPr>
      <w:r>
        <w:rPr>
          <w:rFonts w:ascii="Times New Roman;Times;serif" w:hAnsi="Times New Roman;Times;serif"/>
          <w:b/>
          <w:i/>
          <w:sz w:val="20"/>
        </w:rPr>
        <w:t>Treasury Shares</w:t>
      </w:r>
    </w:p>
    <w:p>
      <w:pPr>
        <w:pStyle w:val="TextBody"/>
        <w:bidi w:val="0"/>
        <w:spacing w:before="0" w:after="200"/>
        <w:ind w:left="490" w:right="0" w:hanging="0"/>
        <w:jc w:val="both"/>
        <w:rPr>
          <w:rFonts w:ascii="Times New Roman;Times;serif" w:hAnsi="Times New Roman;Times;serif"/>
          <w:b/>
          <w:sz w:val="20"/>
        </w:rPr>
      </w:pPr>
      <w:r>
        <w:rPr>
          <w:rFonts w:ascii="Times New Roman;Times;serif" w:hAnsi="Times New Roman;Times;serif"/>
          <w:b w:val="false"/>
          <w:sz w:val="20"/>
        </w:rPr>
        <w:t>On December 31, 2025, the Company entered into a share purchase agreement to repurchase 2,300,000</w:t>
      </w:r>
      <w:r>
        <w:rPr>
          <w:rFonts w:ascii="Times New Roman;Times;serif" w:hAnsi="Times New Roman;Times;serif"/>
          <w:b/>
          <w:sz w:val="20"/>
        </w:rPr>
        <w:t xml:space="preserve"> </w:t>
      </w:r>
      <w:r>
        <w:rPr>
          <w:rFonts w:ascii="Times New Roman;Times;serif" w:hAnsi="Times New Roman;Times;serif"/>
          <w:b w:val="false"/>
          <w:sz w:val="20"/>
        </w:rPr>
        <w:t>of its ordinary shares from Perceptive Life Sciences Master Fund, Ltd., an affiliate of Perceptive Advisors LLC, at a purchase price of $7.91</w:t>
      </w:r>
      <w:r>
        <w:rPr>
          <w:rFonts w:ascii="Times New Roman;Times;serif" w:hAnsi="Times New Roman;Times;serif"/>
          <w:b/>
          <w:sz w:val="20"/>
        </w:rPr>
        <w:t xml:space="preserve"> </w:t>
      </w:r>
      <w:r>
        <w:rPr>
          <w:rFonts w:ascii="Times New Roman;Times;serif" w:hAnsi="Times New Roman;Times;serif"/>
          <w:b w:val="false"/>
          <w:sz w:val="20"/>
        </w:rPr>
        <w:t>per share, for an aggregate purchase price of $18.2</w:t>
      </w:r>
      <w:r>
        <w:rPr>
          <w:rFonts w:ascii="Times New Roman;Times;serif" w:hAnsi="Times New Roman;Times;serif"/>
          <w:b/>
          <w:sz w:val="20"/>
        </w:rPr>
        <w:t xml:space="preserve"> </w:t>
      </w:r>
      <w:r>
        <w:rPr>
          <w:rFonts w:ascii="Times New Roman;Times;serif" w:hAnsi="Times New Roman;Times;serif"/>
          <w:b w:val="false"/>
          <w:sz w:val="20"/>
        </w:rPr>
        <w:t>million. The repurchase transaction was completed on January 5, 2026, at which time the Company acquired the shares and recorded them as treasury shares, resulting in a reduction of shareholders’ equity.</w:t>
      </w:r>
    </w:p>
    <w:p>
      <w:pPr>
        <w:pStyle w:val="TextBody"/>
        <w:bidi w:val="0"/>
        <w:spacing w:before="0" w:after="240"/>
        <w:ind w:left="0" w:right="0" w:hanging="0"/>
        <w:jc w:val="both"/>
        <w:rPr>
          <w:rFonts w:ascii="Times New Roman;Times;serif" w:hAnsi="Times New Roman;Times;serif"/>
          <w:b/>
          <w:sz w:val="20"/>
        </w:rPr>
      </w:pPr>
      <w:bookmarkStart w:id="1412" w:name="Tc_LzCCo7Rt3U2WnYjiT5dPHg_5_2"/>
      <w:bookmarkStart w:id="1413" w:name="Tc_FECESafksk6fT3MAYccgfg_5_0"/>
      <w:bookmarkStart w:id="1414" w:name="Tc_pJEHKJvrTEqP5S1JaWkMHw_4_2"/>
      <w:bookmarkStart w:id="1415" w:name="Tc_g7BTZjJLKkyDhhfszezfcg_4_0"/>
      <w:bookmarkStart w:id="1416" w:name="Tc_Ai0yKSWnVUGAypF2Sh_1DQ_3_0"/>
      <w:bookmarkStart w:id="1417" w:name="Tc_CgcJulZdTUqhAugODRjwFg_2_4"/>
      <w:bookmarkStart w:id="1418" w:name="Tc_Dk9rcQu6JEeJevH4vT-pAA_2_2"/>
      <w:bookmarkStart w:id="1419" w:name="Tc_xVK-kyP9rEWYWiUUXcGkkw_1_4"/>
      <w:bookmarkStart w:id="1420" w:name="Tc_vzB2hUTf4kiUZwx5UF802w_1_2"/>
      <w:bookmarkStart w:id="1421" w:name="Tc_cA9CdIOL10GF7ga8wl7P7w_11_10"/>
      <w:bookmarkStart w:id="1422" w:name="Tc_qSO4W98y80G_4xtGbdePsQ_11_7"/>
      <w:bookmarkStart w:id="1423" w:name="Tc_PqsJN5WqjkakndHE3q1GBQ_11_4"/>
      <w:bookmarkStart w:id="1424" w:name="Tc_wDNLPsuzHkGg6GoiOpUnpg_11_1"/>
      <w:bookmarkStart w:id="1425" w:name="Tc_g9YgSqrFKUepsaUxSC0Xcw_11_0"/>
      <w:bookmarkStart w:id="1426" w:name="Tc_9llOVRJJqk2-YPH8Ukju4Q_10_10"/>
      <w:bookmarkStart w:id="1427" w:name="Tc_-sPq0nayGkad-lYliLn0Aw_10_7"/>
      <w:bookmarkStart w:id="1428" w:name="Tc_ydtykZ3DVU-z9pd6d6hP5Q_10_4"/>
      <w:bookmarkStart w:id="1429" w:name="Tc_NoyINu2jw0yefSIX6Qnt7g_10_1"/>
      <w:bookmarkStart w:id="1430" w:name="Tc_MUEUGeMEQUyeifOdbiwI1g_10_0"/>
      <w:bookmarkStart w:id="1431" w:name="Tc_T_IRzPA2lECC0ffBxu-FTw_9_0"/>
      <w:bookmarkStart w:id="1432" w:name="Tc_gd4LzTpGdUC2I2W-l_fIlw_8_11"/>
      <w:bookmarkStart w:id="1433" w:name="Tc_72V-DBiv9kiwzr2INLiu0g_8_5"/>
      <w:bookmarkStart w:id="1434" w:name="Tc_JGTzN1ZmkkSRM36AwE56RQ_8_0"/>
      <w:bookmarkStart w:id="1435" w:name="Tc_IbQTQy1J3ky1lMRL6N6Wgg_7_11"/>
      <w:bookmarkStart w:id="1436" w:name="Tc_mrcGNdeVf0-x-K-18R-ErA_7_5"/>
      <w:bookmarkStart w:id="1437" w:name="Tc_QIDZrEjuUE2FmGeqXPWToA_7_0"/>
      <w:bookmarkStart w:id="1438" w:name="Tc_bfB8ncIbbUGGhstnjF6kZQ_6_11"/>
      <w:bookmarkStart w:id="1439" w:name="Tc_uGxxfuPoqEuCNALGDLADsw_6_5"/>
      <w:bookmarkStart w:id="1440" w:name="Tc_taszYE-LtkG-2Ikc0sUCLA_6_0"/>
      <w:bookmarkStart w:id="1441" w:name="Tc_ayvvhLLT20m3vR9svz_TYQ_5_0"/>
      <w:bookmarkStart w:id="1442" w:name="Tc_tg0mdUS4FkSS2GMjfT4BnQ_4_0"/>
      <w:bookmarkStart w:id="1443" w:name="Tc_yILPePjFMECE_r-VivWu4A_3_10"/>
      <w:bookmarkStart w:id="1444" w:name="Tc_l7qmz5dusEWaWWlr82p_rQ_3_7"/>
      <w:bookmarkStart w:id="1445" w:name="Tc_d0odL58tekm_1Px0tOfSww_3_4"/>
      <w:bookmarkStart w:id="1446" w:name="Tc_dG11BFVV4kupC6_n4JB5wA_3_1"/>
      <w:bookmarkStart w:id="1447" w:name="Tc_H__WcEvfTE2FmNXiaBll_Q_3_0"/>
      <w:bookmarkStart w:id="1448" w:name="Tc_gUEo-jyf-0GYI6PXJjVJmA_2_10"/>
      <w:bookmarkStart w:id="1449" w:name="Tc_n5QvttUeXkeoNe8L8oP0oA_2_7"/>
      <w:bookmarkStart w:id="1450" w:name="Tc_d5-c9PlqP0ayTPNWBbDuGg_2_4"/>
      <w:bookmarkStart w:id="1451" w:name="Tc_WEzB-lla60yQLYIRUqn_eg_2_1"/>
      <w:bookmarkStart w:id="1452" w:name="Tc_s61s7bw6i02_IIQ8VVKgOA_1_7"/>
      <w:bookmarkStart w:id="1453" w:name="Tc_rCzb93wSS0qwLzb2JNz1FQ_1_1"/>
      <w:bookmarkStart w:id="1454" w:name="_ebbe7cb8_9890_4496_a4d9_0cca8751a5d8"/>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b/>
          <w:sz w:val="20"/>
        </w:rPr>
        <w:t>8.       Earnings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47"/>
        <w:gridCol w:w="221"/>
        <w:gridCol w:w="1036"/>
        <w:gridCol w:w="391"/>
        <w:gridCol w:w="221"/>
        <w:gridCol w:w="1036"/>
        <w:gridCol w:w="346"/>
        <w:gridCol w:w="209"/>
        <w:gridCol w:w="982"/>
        <w:gridCol w:w="370"/>
        <w:gridCol w:w="209"/>
        <w:gridCol w:w="1037"/>
      </w:tblGrid>
      <w:tr>
        <w:trPr/>
        <w:tc>
          <w:tcPr>
            <w:tcW w:w="4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633345" cy="175260"/>
                      <wp:effectExtent l="0" t="0" r="0" b="0"/>
                      <wp:wrapNone/>
                      <wp:docPr id="250" name="Frame250"/>
                      <a:graphic xmlns:a="http://schemas.openxmlformats.org/drawingml/2006/main">
                        <a:graphicData uri="http://schemas.microsoft.com/office/word/2010/wordprocessingShape">
                          <wps:wsp>
                            <wps:cNvSpPr txBox="1"/>
                            <wps:spPr>
                              <a:xfrm>
                                <a:off x="0" y="0"/>
                                <a:ext cx="263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0335" cy="175260"/>
                      <wp:effectExtent l="0" t="0" r="0" b="0"/>
                      <wp:wrapNone/>
                      <wp:docPr id="251" name="Frame25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57860" cy="175260"/>
                      <wp:effectExtent l="0" t="0" r="0" b="0"/>
                      <wp:wrapNone/>
                      <wp:docPr id="252" name="Frame2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48285" cy="175260"/>
                      <wp:effectExtent l="0" t="0" r="0" b="0"/>
                      <wp:wrapNone/>
                      <wp:docPr id="253" name="Frame2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0335" cy="175260"/>
                      <wp:effectExtent l="0" t="0" r="0" b="0"/>
                      <wp:wrapNone/>
                      <wp:docPr id="254" name="Frame25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57860" cy="175260"/>
                      <wp:effectExtent l="0" t="0" r="0" b="0"/>
                      <wp:wrapNone/>
                      <wp:docPr id="255" name="Frame2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2715" cy="175260"/>
                      <wp:effectExtent l="0" t="0" r="0" b="0"/>
                      <wp:wrapNone/>
                      <wp:docPr id="257" name="Frame25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23570" cy="175260"/>
                      <wp:effectExtent l="0" t="0" r="0" b="0"/>
                      <wp:wrapNone/>
                      <wp:docPr id="258" name="Frame258"/>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34950" cy="175260"/>
                      <wp:effectExtent l="0" t="0" r="0" b="0"/>
                      <wp:wrapNone/>
                      <wp:docPr id="259" name="Frame25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2715" cy="175260"/>
                      <wp:effectExtent l="0" t="0" r="0" b="0"/>
                      <wp:wrapNone/>
                      <wp:docPr id="260" name="Frame26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58495" cy="175260"/>
                      <wp:effectExtent l="0" t="0" r="0" b="0"/>
                      <wp:wrapNone/>
                      <wp:docPr id="261" name="Frame261"/>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47" w:type="dxa"/>
            <w:tcBorders/>
            <w:vAlign w:val="center"/>
          </w:tcPr>
          <w:p>
            <w:pPr>
              <w:pStyle w:val="TableContents"/>
              <w:bidi w:val="0"/>
              <w:spacing w:before="0" w:after="1"/>
              <w:ind w:left="0" w:right="0" w:hanging="0"/>
              <w:jc w:val="left"/>
              <w:rPr/>
            </w:pPr>
            <w:r>
              <w:rPr/>
              <w:t>​</w:t>
            </w:r>
          </w:p>
        </w:tc>
        <w:tc>
          <w:tcPr>
            <w:tcW w:w="2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Three-Month Periods Ended June 30, </w:t>
            </w:r>
          </w:p>
        </w:tc>
        <w:tc>
          <w:tcPr>
            <w:tcW w:w="346" w:type="dxa"/>
            <w:tcBorders/>
            <w:vAlign w:val="center"/>
          </w:tcPr>
          <w:p>
            <w:pPr>
              <w:pStyle w:val="TableContents"/>
              <w:bidi w:val="0"/>
              <w:spacing w:before="0" w:after="1"/>
              <w:ind w:left="0" w:right="0" w:hanging="0"/>
              <w:jc w:val="left"/>
              <w:rPr/>
            </w:pPr>
            <w:r>
              <w:rPr/>
              <w:t>​</w:t>
            </w:r>
          </w:p>
        </w:tc>
        <w:tc>
          <w:tcPr>
            <w:tcW w:w="28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Six-Month Periods Ended June 30, </w:t>
            </w:r>
          </w:p>
        </w:tc>
      </w:tr>
      <w:tr>
        <w:trPr/>
        <w:tc>
          <w:tcPr>
            <w:tcW w:w="4147" w:type="dxa"/>
            <w:tcBorders/>
            <w:vAlign w:val="center"/>
          </w:tcPr>
          <w:p>
            <w:pPr>
              <w:pStyle w:val="TableContents"/>
              <w:bidi w:val="0"/>
              <w:spacing w:before="0" w:after="1"/>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1" w:type="dxa"/>
            <w:tcBorders/>
            <w:vAlign w:val="center"/>
          </w:tcPr>
          <w:p>
            <w:pPr>
              <w:pStyle w:val="TableContents"/>
              <w:bidi w:val="0"/>
              <w:spacing w:before="0" w:after="1"/>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70" w:type="dxa"/>
            <w:tcBorders/>
            <w:vAlign w:val="center"/>
          </w:tcPr>
          <w:p>
            <w:pPr>
              <w:pStyle w:val="TableContents"/>
              <w:bidi w:val="0"/>
              <w:spacing w:before="0" w:after="1"/>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1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attributable to ordinary shareholders (numerator, in thousands)</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160,720</w:t>
            </w:r>
          </w:p>
        </w:tc>
        <w:tc>
          <w:tcPr>
            <w:tcW w:w="39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114,407</w:t>
            </w:r>
          </w:p>
        </w:tc>
        <w:tc>
          <w:tcPr>
            <w:tcW w:w="370"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(78,776)</w:t>
            </w:r>
          </w:p>
        </w:tc>
      </w:tr>
      <w:tr>
        <w:trPr/>
        <w:tc>
          <w:tcPr>
            <w:tcW w:w="41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ordinary shares outstanding – basic</w:t>
            </w:r>
          </w:p>
        </w:tc>
        <w:tc>
          <w:tcPr>
            <w:tcW w:w="22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91,418,527</w:t>
            </w:r>
          </w:p>
        </w:tc>
        <w:tc>
          <w:tcPr>
            <w:tcW w:w="391"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80,585,625</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86,387,685</w:t>
            </w:r>
          </w:p>
        </w:tc>
        <w:tc>
          <w:tcPr>
            <w:tcW w:w="370"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79,813,273</w:t>
            </w:r>
          </w:p>
        </w:tc>
      </w:tr>
      <w:tr>
        <w:trPr/>
        <w:tc>
          <w:tcPr>
            <w:tcW w:w="41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w:t>
            </w:r>
          </w:p>
        </w:tc>
        <w:tc>
          <w:tcPr>
            <w:tcW w:w="22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left"/>
              <w:rPr/>
            </w:pPr>
            <w:r>
              <w:rPr/>
              <w:t>​</w:t>
            </w:r>
          </w:p>
        </w:tc>
      </w:tr>
      <w:tr>
        <w:trPr/>
        <w:tc>
          <w:tcPr>
            <w:tcW w:w="41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 options</w:t>
            </w:r>
          </w:p>
        </w:tc>
        <w:tc>
          <w:tcPr>
            <w:tcW w:w="22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683,185</w:t>
            </w:r>
          </w:p>
        </w:tc>
        <w:tc>
          <w:tcPr>
            <w:tcW w:w="391"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455,049</w:t>
            </w:r>
          </w:p>
        </w:tc>
        <w:tc>
          <w:tcPr>
            <w:tcW w:w="370"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41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share units</w:t>
            </w:r>
          </w:p>
        </w:tc>
        <w:tc>
          <w:tcPr>
            <w:tcW w:w="22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1,567,148</w:t>
            </w:r>
          </w:p>
        </w:tc>
        <w:tc>
          <w:tcPr>
            <w:tcW w:w="39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1,210,427</w:t>
            </w:r>
          </w:p>
        </w:tc>
        <w:tc>
          <w:tcPr>
            <w:tcW w:w="370"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pPr>
            <w:r>
              <w:rPr/>
              <w:t>—</w:t>
            </w:r>
          </w:p>
        </w:tc>
      </w:tr>
      <w:tr>
        <w:trPr/>
        <w:tc>
          <w:tcPr>
            <w:tcW w:w="41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Warrants</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136,436</w:t>
            </w:r>
          </w:p>
        </w:tc>
        <w:tc>
          <w:tcPr>
            <w:tcW w:w="391"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61,862</w:t>
            </w:r>
          </w:p>
        </w:tc>
        <w:tc>
          <w:tcPr>
            <w:tcW w:w="370"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ordinary shares outstanding – diluted</w:t>
            </w:r>
          </w:p>
        </w:tc>
        <w:tc>
          <w:tcPr>
            <w:tcW w:w="22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93,805,296</w:t>
            </w:r>
          </w:p>
        </w:tc>
        <w:tc>
          <w:tcPr>
            <w:tcW w:w="39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80,585,625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88,115,023</w:t>
            </w:r>
          </w:p>
        </w:tc>
        <w:tc>
          <w:tcPr>
            <w:tcW w:w="370"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79,813,273</w:t>
            </w:r>
          </w:p>
        </w:tc>
      </w:tr>
      <w:tr>
        <w:trPr/>
        <w:tc>
          <w:tcPr>
            <w:tcW w:w="41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 earnings per ordinary share</w:t>
            </w:r>
          </w:p>
        </w:tc>
        <w:tc>
          <w:tcPr>
            <w:tcW w:w="2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91"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(0.48)</w:t>
            </w:r>
          </w:p>
        </w:tc>
        <w:tc>
          <w:tcPr>
            <w:tcW w:w="346" w:type="dxa"/>
            <w:tcBorders/>
            <w:vAlign w:val="center"/>
          </w:tcPr>
          <w:p>
            <w:pPr>
              <w:pStyle w:val="TableContents"/>
              <w:bidi w:val="0"/>
              <w:spacing w:before="0" w:after="1"/>
              <w:ind w:left="0" w:right="0" w:hanging="0"/>
              <w:jc w:val="right"/>
              <w:rPr/>
            </w:pPr>
            <w:r>
              <w:rPr/>
              <w:t>​</w:t>
            </w:r>
          </w:p>
        </w:tc>
        <w:tc>
          <w:tcPr>
            <w:tcW w:w="2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370" w:type="dxa"/>
            <w:tcBorders/>
            <w:vAlign w:val="center"/>
          </w:tcPr>
          <w:p>
            <w:pPr>
              <w:pStyle w:val="TableContents"/>
              <w:bidi w:val="0"/>
              <w:spacing w:before="0" w:after="1"/>
              <w:ind w:left="0" w:right="0" w:hanging="0"/>
              <w:jc w:val="right"/>
              <w:rPr/>
            </w:pPr>
            <w:r>
              <w:rPr/>
              <w:t>​</w:t>
            </w:r>
          </w:p>
        </w:tc>
        <w:tc>
          <w:tcPr>
            <w:tcW w:w="2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(0.99)</w:t>
            </w:r>
          </w:p>
        </w:tc>
      </w:tr>
      <w:tr>
        <w:trPr/>
        <w:tc>
          <w:tcPr>
            <w:tcW w:w="41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earnings per ordinary share</w:t>
            </w:r>
          </w:p>
        </w:tc>
        <w:tc>
          <w:tcPr>
            <w:tcW w:w="2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391"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(0.48)</w:t>
            </w:r>
          </w:p>
        </w:tc>
        <w:tc>
          <w:tcPr>
            <w:tcW w:w="346" w:type="dxa"/>
            <w:tcBorders/>
            <w:shd w:fill="CCEEFF" w:val="clear"/>
            <w:vAlign w:val="center"/>
          </w:tcPr>
          <w:p>
            <w:pPr>
              <w:pStyle w:val="TableContents"/>
              <w:bidi w:val="0"/>
              <w:spacing w:before="0" w:after="1"/>
              <w:ind w:left="0" w:right="0" w:hanging="0"/>
              <w:jc w:val="right"/>
              <w:rPr/>
            </w:pPr>
            <w:r>
              <w:rPr/>
              <w:t>​</w:t>
            </w:r>
          </w:p>
        </w:tc>
        <w:tc>
          <w:tcPr>
            <w:tcW w:w="2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370" w:type="dxa"/>
            <w:tcBorders/>
            <w:shd w:fill="CCEEFF" w:val="clear"/>
            <w:vAlign w:val="center"/>
          </w:tcPr>
          <w:p>
            <w:pPr>
              <w:pStyle w:val="TableContents"/>
              <w:bidi w:val="0"/>
              <w:spacing w:before="0" w:after="1"/>
              <w:ind w:left="0" w:right="0" w:hanging="0"/>
              <w:jc w:val="right"/>
              <w:rPr/>
            </w:pPr>
            <w:r>
              <w:rPr/>
              <w:t>​</w:t>
            </w:r>
          </w:p>
        </w:tc>
        <w:tc>
          <w:tcPr>
            <w:tcW w:w="2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(0.99)</w:t>
            </w:r>
          </w:p>
        </w:tc>
      </w:tr>
    </w:tbl>
    <w:p>
      <w:pPr>
        <w:pStyle w:val="TextBody"/>
        <w:bidi w:val="0"/>
        <w:spacing w:before="0" w:after="240"/>
        <w:ind w:left="490" w:right="0" w:hanging="0"/>
        <w:jc w:val="both"/>
        <w:rPr/>
      </w:pPr>
      <w:r>
        <w:rPr/>
        <w:t>​</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The following securities are considered to be ordinary share equivalents, but were not included in the computation of diluted net loss per ordinary share for the six-month periods ended June 30, 2026 and 2025 because their effect was anti-dilutive:</w:t>
      </w:r>
    </w:p>
    <w:p>
      <w:pPr>
        <w:pStyle w:val="TextBody"/>
        <w:bidi w:val="0"/>
        <w:spacing w:before="0" w:after="240"/>
        <w:ind w:left="490" w:right="0" w:hanging="0"/>
        <w:jc w:val="both"/>
        <w:rPr/>
      </w:pPr>
      <w:r>
        <w:rPr/>
        <w:t>​</w:t>
      </w:r>
    </w:p>
    <w:tbl>
      <w:tblPr>
        <w:tblW w:w="4637" w:type="dxa"/>
        <w:jc w:val="left"/>
        <w:tblInd w:w="0" w:type="dxa"/>
        <w:tblLayout w:type="fixed"/>
        <w:tblCellMar>
          <w:top w:w="0" w:type="dxa"/>
          <w:left w:w="0" w:type="dxa"/>
          <w:bottom w:w="0" w:type="dxa"/>
          <w:right w:w="0" w:type="dxa"/>
        </w:tblCellMar>
      </w:tblPr>
      <w:tblGrid>
        <w:gridCol w:w="1861"/>
        <w:gridCol w:w="346"/>
        <w:gridCol w:w="931"/>
        <w:gridCol w:w="346"/>
        <w:gridCol w:w="115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181735" cy="175260"/>
                      <wp:effectExtent l="0" t="0" r="0" b="0"/>
                      <wp:wrapNone/>
                      <wp:docPr id="262" name="Frame262"/>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91185" cy="175260"/>
                      <wp:effectExtent l="0" t="0" r="0" b="0"/>
                      <wp:wrapNone/>
                      <wp:docPr id="264" name="Frame2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32155" cy="175260"/>
                      <wp:effectExtent l="0" t="0" r="0" b="0"/>
                      <wp:wrapNone/>
                      <wp:docPr id="266" name="Frame266"/>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 ​ ​</w:t>
            </w:r>
          </w:p>
        </w:tc>
        <w:tc>
          <w:tcPr>
            <w:tcW w:w="1153"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1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4,718,960</w:t>
            </w:r>
          </w:p>
        </w:tc>
        <w:tc>
          <w:tcPr>
            <w:tcW w:w="346" w:type="dxa"/>
            <w:tcBorders/>
            <w:shd w:fill="CCEEFF" w:val="clear"/>
            <w:vAlign w:val="center"/>
          </w:tcPr>
          <w:p>
            <w:pPr>
              <w:pStyle w:val="TableContents"/>
              <w:bidi w:val="0"/>
              <w:spacing w:before="0" w:after="1"/>
              <w:ind w:left="0" w:right="0" w:hanging="0"/>
              <w:jc w:val="left"/>
              <w:rPr/>
            </w:pPr>
            <w:r>
              <w:rPr/>
              <w:t> </w:t>
            </w:r>
          </w:p>
        </w:tc>
        <w:tc>
          <w:tcPr>
            <w:tcW w:w="11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8,060,305</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6,252,250</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700,000</w: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4,718,960</w:t>
            </w:r>
          </w:p>
        </w:tc>
        <w:tc>
          <w:tcPr>
            <w:tcW w:w="346" w:type="dxa"/>
            <w:tcBorders/>
            <w:vAlign w:val="center"/>
          </w:tcPr>
          <w:p>
            <w:pPr>
              <w:pStyle w:val="TableContents"/>
              <w:bidi w:val="0"/>
              <w:spacing w:before="0" w:after="1"/>
              <w:ind w:left="0" w:right="0" w:hanging="0"/>
              <w:jc w:val="left"/>
              <w:rPr/>
            </w:pPr>
            <w:r>
              <w:rPr/>
              <w:t> </w:t>
            </w:r>
          </w:p>
        </w:tc>
        <w:tc>
          <w:tcPr>
            <w:tcW w:w="115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15,012,555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9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9.      Income Taxes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The Company recorded an income tax provision for the three and six months ended June 30, 2026, primarily related to income generated in the United States and in the United Kingdom as a result of certain non-recurring transactions completed during the period. The Company’s estimated annual effective tax rate excludes jurisdictions for which a reliable estimate cannot be made due to anticipated losses for which no tax benefit is expected to be recognized.</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 xml:space="preserve">The Company periodically evaluates the realizability of its deferred tax assets based on all available positive and negative evidence. The realization of deferred tax assets depends on the Company's ability to generate sufficient future taxable income prior to the expiration of the underlying tax attributes. The Company recognized income in the United States and in the United Kingdom during the current period; however, the Company concluded that such income was primarily attributable to non-recurring transactions and does not constitute sufficient positive evidence to support the realization of its deferred taxes. Accordingly, the Company continues to maintain a full valuation allowance against its deferred tax assets (after consideration of deferred tax liabilities related to right-of-use assets and fixed assets) in the United States, United Kingdom, Ireland, France and the Netherlands as of June 30, 2026. </w:t>
      </w:r>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Should the Company determine that it is more likely than not that some or all of its deferred tax assets will be realized in the future, the valuation allowance would be reduced in the period such determination is made, resulting in the recognition of a corresponding income tax benefit.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10.    Related-Party Transactions</w:t>
      </w:r>
    </w:p>
    <w:p>
      <w:pPr>
        <w:pStyle w:val="TextBody"/>
        <w:bidi w:val="0"/>
        <w:spacing w:before="0" w:after="240"/>
        <w:ind w:left="489" w:right="0" w:hanging="0"/>
        <w:jc w:val="both"/>
        <w:rPr>
          <w:rFonts w:ascii="Times New Roman;Times;serif" w:hAnsi="Times New Roman;Times;serif"/>
          <w:b/>
          <w:i/>
          <w:sz w:val="20"/>
        </w:rPr>
      </w:pPr>
      <w:r>
        <w:rPr>
          <w:rFonts w:ascii="Times New Roman;Times;serif" w:hAnsi="Times New Roman;Times;serif"/>
          <w:b/>
          <w:i/>
          <w:sz w:val="20"/>
        </w:rPr>
        <w:t>Relationship with Janssen Pharmaceuticals, Inc.</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On December 20, 2023, the Company entered into the Original Asset Purchase Agreement and Supply Agreement with Janssen. The agreements were combined and accounted for as a single contract under ASC 606 because they were negotiated with a single commercial objective. The transaction price was allocated to the identified performance obligations, and revenue was recognized as those performance obligations were satisfied. </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On April 15, 2026, the Company entered into the Asset Purchase Agreement with Janssen to reacquire all rights, title and interest in bota-vec and other assets related to the RPGR Product. In connection with this transaction, the Company made an upfront cash payment of $25.0 million to Janssen, and agreed to make certain future milestone and royalty payments tied to regulatory approval and commercial performance. Concurrently, the parties entered into the Termination Agreement that terminated the Original Asset Purchase Agreement, the Supply Agreement and certain other documents related to the Original Asset Purchase Agreement. As a result of the termination, the Company had no remaining performance obligations under the foregoing agreements.</w:t>
      </w:r>
    </w:p>
    <w:p>
      <w:pPr>
        <w:pStyle w:val="TextBody"/>
        <w:bidi w:val="0"/>
        <w:spacing w:before="0" w:after="0"/>
        <w:ind w:left="0" w:right="0" w:hanging="0"/>
        <w:jc w:val="left"/>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The Company accounted for the reacquisition of bota-vec as an asset acquisition. The total consideration transferred under the Asset Purchase Agreement included a $25.0 million upfront payment and the settlement of the outstanding $3.3 million related party accounts receivable. The consideration was allocated to the reacquired in-process research and development assets, inventory acquired from Janssen and the Transition Services Agreement between MeiraGTx Ocular and Janssen, dated as of the Janssen Closing Date (the “Transition Services Agreement”), based on their relative fair values. Because the reacquired in-process research and development assets had no alternative future use, the portion of the consideration allocated to those assets was recognized as acquired in-process research and development expense during the three and six months ended June 30, 2026. The portion of the consideration allocated to the acquired inventory was recognized as research and development expense as the inventory has no alternative future use and will be consumed in the Company's internal research and development activities. The portion of the upfront payment allocated to the Transition Services Agreement is recognized as expense as the related services are performed.</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Accordingly, during the three and six months ended June 30, 2026, the Company recognized the remaining deferred revenue associated with the Original Asset Purchase Agreement and related agreements as service revenue – related party, as the remaining performance obligations were extinguished upon termination of the agreements.</w:t>
      </w:r>
    </w:p>
    <w:p>
      <w:pPr>
        <w:pStyle w:val="TextBody"/>
        <w:bidi w:val="0"/>
        <w:spacing w:before="0" w:after="240"/>
        <w:ind w:left="49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0" w:right="0" w:hanging="0"/>
        <w:jc w:val="left"/>
        <w:rPr>
          <w:rFonts w:ascii="Times New Roman;Times;serif" w:hAnsi="Times New Roman;Times;serif"/>
          <w:sz w:val="20"/>
        </w:rPr>
      </w:pPr>
      <w:bookmarkStart w:id="1455" w:name="Tc_vfe2zcVDtEawNDJ9tPK1Nw_6_3"/>
      <w:bookmarkStart w:id="1456" w:name="Tc_HJrbcJPbwESH7_C5kH4ASg_6_2"/>
      <w:bookmarkStart w:id="1457" w:name="Tc_3LA0qMH7AEGvvLlpkr2y6g_6_0"/>
      <w:bookmarkStart w:id="1458" w:name="Tc_YhdDo2MAhkyhmTRR4BoRWA_5_0"/>
      <w:bookmarkStart w:id="1459" w:name="Tc_kzxv1SpfNEud9AopLaWUUQ_4_0"/>
      <w:bookmarkStart w:id="1460" w:name="Tc_UlPLIHQ4qEK0Dj14PDk2FA_3_0"/>
      <w:bookmarkStart w:id="1461" w:name="Tc_uUojK_RFnkexf7uQ3M1phQ_2_0"/>
      <w:bookmarkStart w:id="1462" w:name="Tc_-4c3jbYPYEO0_HO-uXe9Eg_1_2"/>
      <w:bookmarkStart w:id="1463" w:name="Tc_DuzTOxld4k6uJolTKEOhJw_1_0"/>
      <w:bookmarkStart w:id="1464" w:name="_3d3ca696_4c1f_42cc_b42f_a01434d705b8"/>
      <w:bookmarkEnd w:id="1455"/>
      <w:bookmarkEnd w:id="1456"/>
      <w:bookmarkEnd w:id="1457"/>
      <w:bookmarkEnd w:id="1458"/>
      <w:bookmarkEnd w:id="1459"/>
      <w:bookmarkEnd w:id="1460"/>
      <w:bookmarkEnd w:id="1461"/>
      <w:bookmarkEnd w:id="1462"/>
      <w:bookmarkEnd w:id="1463"/>
      <w:bookmarkEnd w:id="1464"/>
      <w:r>
        <w:rPr>
          <w:rFonts w:ascii="Times New Roman;Times;serif" w:hAnsi="Times New Roman;Times;serif"/>
          <w:sz w:val="20"/>
        </w:rPr>
        <w:t>A summary of the deferred revenue – related party is as follows (in thousands):</w:t>
      </w:r>
    </w:p>
    <w:p>
      <w:pPr>
        <w:pStyle w:val="TextBody"/>
        <w:bidi w:val="0"/>
        <w:spacing w:before="0" w:after="0"/>
        <w:ind w:left="5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45"/>
        <w:gridCol w:w="109"/>
        <w:gridCol w:w="211"/>
        <w:gridCol w:w="840"/>
      </w:tblGrid>
      <w:tr>
        <w:trPr/>
        <w:tc>
          <w:tcPr>
            <w:tcW w:w="9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743575" cy="175260"/>
                      <wp:effectExtent l="0" t="0" r="0" b="0"/>
                      <wp:wrapNone/>
                      <wp:docPr id="267" name="Frame267"/>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33400" cy="175260"/>
                      <wp:effectExtent l="0" t="0" r="0" b="0"/>
                      <wp:wrapNone/>
                      <wp:docPr id="270" name="Frame27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66,896</w:t>
            </w:r>
          </w:p>
        </w:tc>
      </w:tr>
      <w:tr>
        <w:trPr/>
        <w:tc>
          <w:tcPr>
            <w:tcW w:w="9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amounts collected or invoiced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recognized as service revenue during the three-month period ended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9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at March 31, 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66,836</w:t>
            </w:r>
          </w:p>
        </w:tc>
      </w:tr>
      <w:tr>
        <w:trPr/>
        <w:tc>
          <w:tcPr>
            <w:tcW w:w="9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service revenue due to termination of agreement during the three-month period ended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(66,836)</w:t>
            </w:r>
          </w:p>
        </w:tc>
      </w:tr>
      <w:tr>
        <w:trPr/>
        <w:tc>
          <w:tcPr>
            <w:tcW w:w="9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at June 30, 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490" w:right="0" w:hanging="0"/>
        <w:jc w:val="both"/>
        <w:rPr/>
      </w:pPr>
      <w:r>
        <w:rPr/>
        <w:t>​</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During the three-month period ended June 30, 2026, the Company recognized related party service revenue of $66.8 million related to the recognition of related party deferred revenue following the termination of the Original Asset Purchase Agreement and related agreements. During the three-month period ended June 30, 2025, the Company recognized related party service revenue of $3.7 million, of which $1.6 million is due to related party deferred revenue recognized as service revenue, based on cumulative progress of PPQ services under the Original Asset Purchase Agreement and related agreements.</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During the six-month period ended June 30, 2026, the Company recognized related party service revenue of $67.0 million, of which $66.8 million related to the recognition of related party deferred revenue following the termination of the Original Asset Purchase Agreement and related agreements and $0.1 million related to the recognition of related party deferred revenue based on cumulative progress of PPQ services under the Original Asset Purchase Agreement and related agreements. During the six-month period ended June 30, 2025, the Company recognized $5.6 million of related party service revenue, inclusive of the $2.3 million of related party deferred revenue recognized as related party service revenue, based on cumulative progress of PPQ services under the Original Asset Purchase Agreement and related agreements.</w:t>
      </w:r>
    </w:p>
    <w:p>
      <w:pPr>
        <w:pStyle w:val="TextBody"/>
        <w:bidi w:val="0"/>
        <w:spacing w:before="0" w:after="240"/>
        <w:ind w:left="450" w:right="0" w:hanging="0"/>
        <w:jc w:val="both"/>
        <w:rPr>
          <w:rFonts w:ascii="Times New Roman;Times;serif" w:hAnsi="Times New Roman;Times;serif"/>
          <w:b/>
          <w:i/>
          <w:sz w:val="20"/>
        </w:rPr>
      </w:pPr>
      <w:r>
        <w:rPr>
          <w:rFonts w:ascii="Times New Roman;Times;serif" w:hAnsi="Times New Roman;Times;serif"/>
          <w:b/>
          <w:i/>
          <w:sz w:val="20"/>
        </w:rPr>
        <w:t>Relationship with Hologen</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During the second quarter of 2026, the Company and Hologen and their affiliates completed the initial closing of the strategic collaboration and entered into amendments to the framework agreements to facilitate the initial funding and investment structure. As part of the initial closing, the parties entered into the Hologen Collaboration Agreement for the development, manufacturing and commercialization of the Clinical Programs and the Delivery Device, completed Hologen’s initial investment in MeiraGTx Manufacturing, and agreed to the related equity arrangements providing for Hologen’s potential acquisition of additional equity interests in MeiraGTx Manufacturing in the future.</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 xml:space="preserve">The agreements entered into with Hologen and its affiliates were negotiated as interdependent elements of the overall strategic collaboration and were intended to achieve a single commercial objective. Although executed on different dates, the agreements were evaluated collectively based on their interrelationship and economic substance. Accordingly, the agreements were combined and accounted for as a single contract. As part of the accounting for the combined contract, the Company first identified the financial assets, financial liabilities and equity transactions arising from the agreements, including its investments in Reogen and Hologen, its sale of a non-controlling interest in MeiraGTx Manufacturing to Hologen, and the related equity contracts, and accounted for those elements at fair value. The residual consideration attributable to the revenue contract, including cash and non-cash consideration, was then accounted for in accordance with ASC 606. The resulting transaction price was allocated to the identified performance obligations, including the transfer of the licenses to the Clinical Programs and the Delivery Device, development services, transition services and other contractual obligations, based on their relative standalone selling prices. Revenue has been recognized as the related performance obligations are satisfied. As of June 30, 2026, the aggregate transaction price allocated to unsatisfied performance obligations was $16.2 million. </w:t>
      </w:r>
    </w:p>
    <w:p>
      <w:pPr>
        <w:pStyle w:val="TextBody"/>
        <w:bidi w:val="0"/>
        <w:spacing w:before="0" w:after="0"/>
        <w:ind w:left="446" w:right="0" w:hanging="0"/>
        <w:jc w:val="both"/>
        <w:rPr>
          <w:rFonts w:ascii="Times New Roman;Times;serif" w:hAnsi="Times New Roman;Times;serif"/>
          <w:sz w:val="20"/>
        </w:rPr>
      </w:pPr>
      <w:r>
        <w:rPr>
          <w:rFonts w:ascii="Times New Roman;Times;serif" w:hAnsi="Times New Roman;Times;serif"/>
          <w:sz w:val="20"/>
        </w:rPr>
        <w:t xml:space="preserve">In connection with the contractual share repurchase provisions under the Hologen collaboration arrangements, the Company also recognized a refund liability of $7.3 million representing its obligation to transfer a specified number of Reogen shares to Hologen. In accordance with ASC 606, the refund liability was initially measured based on the fair value of the specified number of Reogen shares at the transaction date and is presented within other 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46" w:right="0" w:hanging="0"/>
        <w:jc w:val="both"/>
        <w:rPr>
          <w:rFonts w:ascii="Times New Roman;Times;serif" w:hAnsi="Times New Roman;Times;serif"/>
          <w:sz w:val="20"/>
        </w:rPr>
      </w:pPr>
      <w:bookmarkStart w:id="1465" w:name="Tc_amB-naW-9kOizkRrmWUePQ_4_2"/>
      <w:bookmarkStart w:id="1466" w:name="Tc_v2E4dG7wgkWPDKcB2KAa0A_4_0"/>
      <w:bookmarkStart w:id="1467" w:name="Tc_Wr-1S8d_wk6tuA8-9El4sw_3_0"/>
      <w:bookmarkStart w:id="1468" w:name="Tc_fYUQJ7Hrc0S0uyqgD6FnDg_2_0"/>
      <w:bookmarkStart w:id="1469" w:name="Tc_Z44XPwk8R0iYnDrpf7ieXg_1_3"/>
      <w:bookmarkStart w:id="1470" w:name="Tc_lyyv9oJKFkuLYV7rM7H7dg_1_2"/>
      <w:bookmarkStart w:id="1471" w:name="Tc_aWXf6Y75oESx6FEwZEpVnw_1_0"/>
      <w:bookmarkStart w:id="1472" w:name="_5ecc31bb_8f2e_426f_bded_7dfef8a5e38c"/>
      <w:bookmarkEnd w:id="1465"/>
      <w:bookmarkEnd w:id="1466"/>
      <w:bookmarkEnd w:id="1467"/>
      <w:bookmarkEnd w:id="1468"/>
      <w:bookmarkEnd w:id="1469"/>
      <w:bookmarkEnd w:id="1470"/>
      <w:bookmarkEnd w:id="1471"/>
      <w:bookmarkEnd w:id="1472"/>
      <w:r>
        <w:rPr>
          <w:rFonts w:ascii="Times New Roman;Times;serif" w:hAnsi="Times New Roman;Times;serif"/>
          <w:sz w:val="20"/>
        </w:rPr>
        <w:t>liabilities in the accompanying condensed consolidated balance sheets. The refund liability will be derecognized upon settlement of the contractual share transfer.</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As part of the arrangement, the Company recognized license revenue related to the transfer of the licenses to the Clinical Programs and the Delivery Device in accordance with its accounting policy. In addition, a portion of the transaction consideration was allocated to future development services and transition services associated with the Clinical Programs and the Delivery Device. Accordingly, the Company recorded related party deferred revenue representing the unsatisfied performance obligations for the development and transition services, which will be recognized as the related performance obligations are satisfied over the expected service period.</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 Company recognized license revenue – related party of $204.6 million related to the licenses of the Clinical Programs and the Delivery Device and $37.9 million of service revenue – related party associated with development and transition services provided to Reogen. As of June 30, 2026, the Company has invoiced Reogen for $12.9 million for the development and transition services and recognized a related party unbilled receivable of $24.4 million, representing revenue recognized in excess of amounts billed under the Hologen Collaboration Agreement. As of June 30, 2026, the remaining deferred revenue balance related to the Hologen Collaboration Agreement was $16.2 million, with $5.1 million of this balance expected to be recognized as revenue within the next 12 months as the related services are performed, with the remainder expected to be recognized in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 as the remaining performance obligations are satisfied.</w:t>
      </w:r>
    </w:p>
    <w:p>
      <w:pPr>
        <w:pStyle w:val="TextBody"/>
        <w:bidi w:val="0"/>
        <w:spacing w:before="0" w:after="0"/>
        <w:ind w:left="450" w:right="0" w:hanging="0"/>
        <w:jc w:val="left"/>
        <w:rPr>
          <w:rFonts w:ascii="Times New Roman;Times;serif" w:hAnsi="Times New Roman;Times;serif"/>
          <w:sz w:val="20"/>
        </w:rPr>
      </w:pPr>
      <w:r>
        <w:rPr>
          <w:rFonts w:ascii="Times New Roman;Times;serif" w:hAnsi="Times New Roman;Times;serif"/>
          <w:sz w:val="20"/>
        </w:rPr>
        <w:t>A summary of the deferred revenue – related party is as follows (in thousands):</w:t>
      </w:r>
    </w:p>
    <w:p>
      <w:pPr>
        <w:pStyle w:val="TextBody"/>
        <w:bidi w:val="0"/>
        <w:spacing w:before="0" w:after="0"/>
        <w:ind w:left="540" w:right="0" w:hanging="0"/>
        <w:jc w:val="left"/>
        <w:rPr/>
      </w:pPr>
      <w:r>
        <w:rPr/>
        <w:t>​</w:t>
      </w:r>
    </w:p>
    <w:tbl>
      <w:tblPr>
        <w:tblW w:w="7414" w:type="dxa"/>
        <w:jc w:val="left"/>
        <w:tblInd w:w="0" w:type="dxa"/>
        <w:tblLayout w:type="fixed"/>
        <w:tblCellMar>
          <w:top w:w="0" w:type="dxa"/>
          <w:left w:w="0" w:type="dxa"/>
          <w:bottom w:w="0" w:type="dxa"/>
          <w:right w:w="0" w:type="dxa"/>
        </w:tblCellMar>
      </w:tblPr>
      <w:tblGrid>
        <w:gridCol w:w="6301"/>
        <w:gridCol w:w="109"/>
        <w:gridCol w:w="211"/>
        <w:gridCol w:w="793"/>
      </w:tblGrid>
      <w:tr>
        <w:trPr/>
        <w:tc>
          <w:tcPr>
            <w:tcW w:w="6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001135" cy="175260"/>
                      <wp:effectExtent l="0" t="0" r="0" b="0"/>
                      <wp:wrapNone/>
                      <wp:docPr id="271" name="Frame271"/>
                      <a:graphic xmlns:a="http://schemas.openxmlformats.org/drawingml/2006/main">
                        <a:graphicData uri="http://schemas.microsoft.com/office/word/2010/wordprocessingShape">
                          <wps:wsp>
                            <wps:cNvSpPr txBox="1"/>
                            <wps:spPr>
                              <a:xfrm>
                                <a:off x="0" y="0"/>
                                <a:ext cx="400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03555" cy="175260"/>
                      <wp:effectExtent l="0" t="0" r="0" b="0"/>
                      <wp:wrapNone/>
                      <wp:docPr id="274" name="Frame27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recognition upon execution of the Hologen Collaboration Agreement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16,726</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as service revenue during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at June 30,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16,177</w:t>
            </w:r>
          </w:p>
        </w:tc>
      </w:tr>
    </w:tbl>
    <w:p>
      <w:pPr>
        <w:pStyle w:val="TextBody"/>
        <w:bidi w:val="0"/>
        <w:spacing w:before="0" w:after="0"/>
        <w:ind w:left="540" w:right="0" w:hanging="0"/>
        <w:jc w:val="left"/>
        <w:rPr/>
      </w:pPr>
      <w:r>
        <w:rPr/>
        <w:t>​</w:t>
      </w:r>
    </w:p>
    <w:p>
      <w:pPr>
        <w:pStyle w:val="TextBody"/>
        <w:bidi w:val="0"/>
        <w:spacing w:before="0" w:after="240"/>
        <w:ind w:left="446" w:right="0" w:hanging="0"/>
        <w:jc w:val="both"/>
        <w:rPr>
          <w:rFonts w:ascii="Times New Roman;Times;serif" w:hAnsi="Times New Roman;Times;serif"/>
          <w:b/>
          <w:i/>
          <w:sz w:val="20"/>
        </w:rPr>
      </w:pPr>
      <w:r>
        <w:rPr>
          <w:rFonts w:ascii="Times New Roman;Times;serif" w:hAnsi="Times New Roman;Times;serif"/>
          <w:b/>
          <w:i/>
          <w:sz w:val="20"/>
        </w:rPr>
        <w:t xml:space="preserve">Debt Financing </w:t>
      </w:r>
    </w:p>
    <w:p>
      <w:pPr>
        <w:pStyle w:val="TextBody"/>
        <w:bidi w:val="0"/>
        <w:spacing w:before="0" w:after="240"/>
        <w:ind w:left="446"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On August 2, 2022 the Company, as borrower, and MeiraGTx UK II and MeiraGTx Ireland, as guarantors (the “Subsidiary Guarantors”), entered into a senior secured financing arrangement (the “Financing Agreement”) by and among the Company, the Subsidiary Guarantors, the lenders and other parties from time to time party thereto and Perceptive Credit Holdings III, LP, as administrative agent and lender (“Perceptive”). On December 19, 2022, the Financing Agreement was converted to a notes purchase agreement and guaranty (the “Notes Purchase Agreement”) between the same parties and under substantially the same terms and conditions as the Financing Agreement, subject to certain customary note constitution terms. Pursuant to an amendment to the Notes Purchase Agreement entered into on March 25, 2026, the maturity date of the Notes Purchase Agreement was extended from August 2, 2026 to May 2, 2027 and the Company agreed to redeem a portion of the outstanding principal amount of the Tranche 1 Notes equal to $25.0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on or before June 30, 2026. The parties also agreed to amend the warrants further described in Note 12 to change the exercise price to $8.00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per share. Pursuant to another amendment to the Notes Purchase Agreement entered into on May 12, 2026, the maturity date of the Notes Purchase Agreement was extended from May 2, 2027 to July 1, 2027. During the three months ended June 30, 2026, the Company voluntarily prepaid all outstanding principal and accrued interest under the Notes Purchase Agreement, resulting in the full repayment and termination of such agreement. In connection with the repayment, the Company recognized a loss on extinguishment of debt of $0.3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related to the write-off of unamortized debt issuance costs. Refer to the discussion in Note 12 for further information related to the accounting for the debt financing. Perceptive Advisors LLC, an affiliate of Perceptive, is a greater than 10%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holder of the ordinary shares of the Company. Additionally, Ellen Hukkelhoven, Ph.D., a director of the Company, is an employee of Perceptive Advisors LLC. </w:t>
      </w:r>
    </w:p>
    <w:p>
      <w:pPr>
        <w:pStyle w:val="TextBody"/>
        <w:bidi w:val="0"/>
        <w:spacing w:before="0" w:after="240"/>
        <w:ind w:left="446" w:right="0" w:hanging="0"/>
        <w:jc w:val="both"/>
        <w:rPr>
          <w:rFonts w:ascii="Times New Roman;Times;serif" w:hAnsi="Times New Roman;Times;serif"/>
          <w:b/>
          <w:i/>
          <w:sz w:val="20"/>
        </w:rPr>
      </w:pPr>
      <w:r>
        <w:rPr>
          <w:rFonts w:ascii="Times New Roman;Times;serif" w:hAnsi="Times New Roman;Times;serif"/>
          <w:b/>
          <w:i/>
          <w:sz w:val="20"/>
        </w:rPr>
        <w:t>Share Repurchase</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On December 31, 2025, the Company entered into a share purchase agreement to repurchase 2,300,000 of its ordinary shares from Perceptive Life Sciences Master Fund, Ltd., an affiliate of Perceptive Advisors LLC, at a purchase price of $7.91 per share, for an aggregate purchase price of $18.2 million. The repurchase transaction was completed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50" w:right="0" w:hanging="0"/>
        <w:jc w:val="both"/>
        <w:rPr>
          <w:rFonts w:ascii="Times New Roman;Times;serif" w:hAnsi="Times New Roman;Times;serif"/>
          <w:sz w:val="20"/>
        </w:rPr>
      </w:pPr>
      <w:r>
        <w:rPr>
          <w:rFonts w:ascii="Times New Roman;Times;serif" w:hAnsi="Times New Roman;Times;serif"/>
          <w:sz w:val="20"/>
        </w:rPr>
        <w:t>January 5, 2026, at which time the Company acquired the shares and recorded them as treasury shares, resulting in a reduction of shareholders’ equity.</w:t>
      </w:r>
    </w:p>
    <w:p>
      <w:pPr>
        <w:pStyle w:val="TextBody"/>
        <w:bidi w:val="0"/>
        <w:spacing w:before="0" w:after="200"/>
        <w:ind w:left="0" w:right="0" w:hanging="0"/>
        <w:jc w:val="left"/>
        <w:rPr>
          <w:rFonts w:ascii="Times New Roman;Times;serif" w:hAnsi="Times New Roman;Times;serif"/>
          <w:b/>
          <w:sz w:val="20"/>
        </w:rPr>
      </w:pPr>
      <w:bookmarkStart w:id="1473" w:name="Tc__5Iy4sXQlEmspPfibqEhgA_9_5"/>
      <w:bookmarkStart w:id="1474" w:name="Tc_g02hf2fzT0qAOKWljEcMJA_9_2"/>
      <w:bookmarkStart w:id="1475" w:name="Tc_n2jFGp2HlESOwv3mXQAtaQ_9_0"/>
      <w:bookmarkStart w:id="1476" w:name="Tc_TdgkJoZniEiXCFPSxlEzbw_8_0"/>
      <w:bookmarkStart w:id="1477" w:name="Tc_mNGvEcXmik-Ns-HOxtauDg_7_0"/>
      <w:bookmarkStart w:id="1478" w:name="Tc_klLvVF1A2EOE5QohZa-ndw_6_0"/>
      <w:bookmarkStart w:id="1479" w:name="Tc_YktXjIzDs0a0mPQdJGnosw_5_6"/>
      <w:bookmarkStart w:id="1480" w:name="Tc_2-CqOWNy0UCfdTVgrjHw8A_5_0"/>
      <w:bookmarkStart w:id="1481" w:name="Tc_hf58CRw2JU6hUN7_QpktZw_4_5"/>
      <w:bookmarkStart w:id="1482" w:name="Tc_XcBn9IRmrU-6YY3Tb7GwGQ_4_2"/>
      <w:bookmarkStart w:id="1483" w:name="Tc_U7NBvIVyoEe1vGIGLoaZAA_4_0"/>
      <w:bookmarkStart w:id="1484" w:name="Tc_Ca_jbed9vk2fExqXHEZPbQ_3_0"/>
      <w:bookmarkStart w:id="1485" w:name="Tc_apGKml4NEEq8SzQ1Af4wnQ_2_5"/>
      <w:bookmarkStart w:id="1486" w:name="Tc_4OrcAGUFbEOxT3VgHjArZg_2_2"/>
      <w:bookmarkStart w:id="1487" w:name="Tc_JFP7zXRugUmwC7OgFvSsKw_1_2"/>
      <w:bookmarkStart w:id="1488" w:name="_2f5d0d06_4bb6_47ef_9820_dfe29d4e8c12"/>
      <w:bookmarkStart w:id="1489" w:name="Tc_orKCkydka0mSR8AwhYDxsA_9_5"/>
      <w:bookmarkStart w:id="1490" w:name="Tc_6hbM976LuEymh3arysiYdg_9_2"/>
      <w:bookmarkStart w:id="1491" w:name="Tc_y4DGaE5gT0W8s3Ur-VS5Mg_9_0"/>
      <w:bookmarkStart w:id="1492" w:name="Tc__BuEHaU3wESDRoyFQfcwiA_8_0"/>
      <w:bookmarkStart w:id="1493" w:name="Tc_JH2abBjD20OIYc3KDd9lkw_7_0"/>
      <w:bookmarkStart w:id="1494" w:name="Tc_VOwOvDxpOkOwn-8qOiMgCA_6_0"/>
      <w:bookmarkStart w:id="1495" w:name="Tc_MZfPmUYBCEmYWjO3DXRRIQ_5_6"/>
      <w:bookmarkStart w:id="1496" w:name="Tc_6z06-4Ml3USJuIsjTDnVGQ_5_0"/>
      <w:bookmarkStart w:id="1497" w:name="Tc_I1tUs9LXkkK92jcW0RfrGg_4_5"/>
      <w:bookmarkStart w:id="1498" w:name="Tc_eN14sxLhQEeVB5bOyf1Bww_4_2"/>
      <w:bookmarkStart w:id="1499" w:name="Tc_DtZEM0-eAk6_ik2tHg_L6w_4_0"/>
      <w:bookmarkStart w:id="1500" w:name="Tc_mh6miG1KeUSpCKsDpkrP1g_3_0"/>
      <w:bookmarkStart w:id="1501" w:name="Tc_y9pHrmGNJU6AYoREPu9u3Q_2_5"/>
      <w:bookmarkStart w:id="1502" w:name="Tc_TX5FGxyg2ECEHjwA4dXBRA_2_2"/>
      <w:bookmarkStart w:id="1503" w:name="Tc_rmeYhrL3TU6G8XOJoPVCnQ_1_2"/>
      <w:bookmarkStart w:id="1504" w:name="_499d0cb9_5265_4592_8f1b_ba8f058c8636"/>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Times New Roman;Times;serif" w:hAnsi="Times New Roman;Times;serif"/>
          <w:b/>
          <w:sz w:val="20"/>
        </w:rPr>
        <w:t>11.    Leases</w:t>
      </w:r>
    </w:p>
    <w:p>
      <w:pPr>
        <w:pStyle w:val="TextBody"/>
        <w:bidi w:val="0"/>
        <w:spacing w:before="0" w:after="200"/>
        <w:ind w:left="450" w:right="0" w:hanging="0"/>
        <w:jc w:val="both"/>
        <w:rPr>
          <w:rFonts w:ascii="Times New Roman;Times;serif" w:hAnsi="Times New Roman;Times;serif"/>
          <w:sz w:val="20"/>
        </w:rPr>
      </w:pPr>
      <w:r>
        <w:rPr>
          <w:rFonts w:ascii="Times New Roman;Times;serif" w:hAnsi="Times New Roman;Times;serif"/>
          <w:sz w:val="20"/>
        </w:rPr>
        <w:t xml:space="preserve">The Company has commitments under operating leases for laboratory, warehouse, clinical trial sites and office space. The Company also has finance leases for manufacturing space and office equipment. The Company’s leases have initial lease terms ranging from 1.5 years to 191 years. Certain lease agreements contain provisions for future rent increases. Payments due under the lease contracts include fixed payments. </w:t>
      </w:r>
    </w:p>
    <w:p>
      <w:pPr>
        <w:pStyle w:val="TextBody"/>
        <w:bidi w:val="0"/>
        <w:spacing w:before="0" w:after="200"/>
        <w:ind w:left="446" w:right="0" w:hanging="0"/>
        <w:jc w:val="both"/>
        <w:rPr>
          <w:rFonts w:ascii="Times New Roman;Times;serif" w:hAnsi="Times New Roman;Times;serif"/>
          <w:sz w:val="20"/>
        </w:rPr>
      </w:pPr>
      <w:r>
        <w:rPr>
          <w:rFonts w:ascii="Times New Roman;Times;serif" w:hAnsi="Times New Roman;Times;serif"/>
          <w:sz w:val="20"/>
        </w:rPr>
        <w:t>Total rent expense under these leases was $0.8 million and $1.3 million for the three-month periods ended June 30, 2026 and 2025, respectively.</w:t>
      </w:r>
    </w:p>
    <w:p>
      <w:pPr>
        <w:pStyle w:val="TextBody"/>
        <w:bidi w:val="0"/>
        <w:spacing w:before="0" w:after="200"/>
        <w:ind w:left="446" w:right="0" w:hanging="0"/>
        <w:jc w:val="both"/>
        <w:rPr>
          <w:rFonts w:ascii="Times New Roman;Times;serif" w:hAnsi="Times New Roman;Times;serif"/>
          <w:sz w:val="20"/>
        </w:rPr>
      </w:pPr>
      <w:r>
        <w:rPr>
          <w:rFonts w:ascii="Times New Roman;Times;serif" w:hAnsi="Times New Roman;Times;serif"/>
          <w:sz w:val="20"/>
        </w:rPr>
        <w:t>Total rent expense under these leases was $2.1 million and $2.5 million for the six-month periods ended June 30, 2026 and 2025, respectively.</w:t>
      </w:r>
    </w:p>
    <w:p>
      <w:pPr>
        <w:pStyle w:val="TextBody"/>
        <w:bidi w:val="0"/>
        <w:spacing w:before="0" w:after="200"/>
        <w:ind w:left="446" w:right="0" w:hanging="0"/>
        <w:jc w:val="both"/>
        <w:rPr>
          <w:rFonts w:ascii="Times New Roman;Times;serif" w:hAnsi="Times New Roman;Times;serif"/>
          <w:sz w:val="20"/>
        </w:rPr>
      </w:pPr>
      <w:r>
        <w:rPr>
          <w:rFonts w:ascii="Times New Roman;Times;serif" w:hAnsi="Times New Roman;Times;serif"/>
          <w:sz w:val="20"/>
        </w:rPr>
        <w:t>There were no new leases recognized during the six-month periods ended June 30, 2026 and 2025.</w:t>
      </w:r>
    </w:p>
    <w:p>
      <w:pPr>
        <w:pStyle w:val="TextBody"/>
        <w:bidi w:val="0"/>
        <w:spacing w:before="0" w:after="200"/>
        <w:ind w:left="446"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determined that it was reasonably certain to exercise its early termination option on an operating lease for laboratory and office space, resulting in a remeasurement of the right-of-use asset and lease liability reflected in the accompanying condensed consolidated balance sheets. </w:t>
      </w:r>
    </w:p>
    <w:p>
      <w:pPr>
        <w:pStyle w:val="TextBody"/>
        <w:bidi w:val="0"/>
        <w:spacing w:before="0" w:after="200"/>
        <w:ind w:left="446" w:right="0" w:hanging="0"/>
        <w:jc w:val="both"/>
        <w:rPr>
          <w:rFonts w:ascii="Times New Roman;Times;serif" w:hAnsi="Times New Roman;Times;serif"/>
          <w:sz w:val="20"/>
        </w:rPr>
      </w:pPr>
      <w:r>
        <w:rPr>
          <w:rFonts w:ascii="Times New Roman;Times;serif" w:hAnsi="Times New Roman;Times;serif"/>
          <w:sz w:val="20"/>
        </w:rPr>
        <w:t>The components of lease cost for the three-month and six-month periods ended June 30, 2026 and 2025 are as follows (in thousands):</w:t>
      </w:r>
    </w:p>
    <w:tbl>
      <w:tblPr>
        <w:tblW w:w="6601" w:type="dxa"/>
        <w:jc w:val="left"/>
        <w:tblInd w:w="0" w:type="dxa"/>
        <w:tblLayout w:type="fixed"/>
        <w:tblCellMar>
          <w:top w:w="0" w:type="dxa"/>
          <w:left w:w="0" w:type="dxa"/>
          <w:bottom w:w="0" w:type="dxa"/>
          <w:right w:w="0" w:type="dxa"/>
        </w:tblCellMar>
      </w:tblPr>
      <w:tblGrid>
        <w:gridCol w:w="2911"/>
        <w:gridCol w:w="346"/>
        <w:gridCol w:w="386"/>
        <w:gridCol w:w="1045"/>
        <w:gridCol w:w="267"/>
        <w:gridCol w:w="386"/>
        <w:gridCol w:w="1260"/>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848485" cy="175260"/>
                      <wp:effectExtent l="0" t="0" r="0" b="0"/>
                      <wp:wrapNone/>
                      <wp:docPr id="275" name="Frame27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45110" cy="175260"/>
                      <wp:effectExtent l="0" t="0" r="0" b="0"/>
                      <wp:wrapNone/>
                      <wp:docPr id="277" name="Frame2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63575" cy="175260"/>
                      <wp:effectExtent l="0" t="0" r="0" b="0"/>
                      <wp:wrapNone/>
                      <wp:docPr id="278" name="Frame278"/>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9545" cy="175260"/>
                      <wp:effectExtent l="0" t="0" r="0" b="0"/>
                      <wp:wrapNone/>
                      <wp:docPr id="279" name="Frame27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5110" cy="175260"/>
                      <wp:effectExtent l="0" t="0" r="0" b="0"/>
                      <wp:wrapNone/>
                      <wp:docPr id="280" name="Frame28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800100" cy="175260"/>
                      <wp:effectExtent l="0" t="0" r="0" b="0"/>
                      <wp:wrapNone/>
                      <wp:docPr id="281" name="Frame281"/>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Three-Month Periods Ended June 30, </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67" w:type="dxa"/>
            <w:tcBorders/>
            <w:vAlign w:val="center"/>
          </w:tcPr>
          <w:p>
            <w:pPr>
              <w:pStyle w:val="TableContents"/>
              <w:bidi w:val="0"/>
              <w:spacing w:before="0" w:after="1"/>
              <w:ind w:left="0" w:right="0" w:hanging="0"/>
              <w:jc w:val="left"/>
              <w:rPr/>
            </w:pPr>
            <w:r>
              <w:rPr/>
              <w:t>​</w:t>
            </w:r>
          </w:p>
        </w:tc>
        <w:tc>
          <w:tcPr>
            <w:tcW w:w="16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Finance lease cost</w:t>
            </w:r>
          </w:p>
        </w:tc>
        <w:tc>
          <w:tcPr>
            <w:tcW w:w="346" w:type="dxa"/>
            <w:tcBorders/>
            <w:shd w:fill="CCEEFF" w:val="clear"/>
            <w:vAlign w:val="center"/>
          </w:tcPr>
          <w:p>
            <w:pPr>
              <w:pStyle w:val="TableContents"/>
              <w:bidi w:val="0"/>
              <w:spacing w:before="0" w:after="1"/>
              <w:ind w:left="0" w:right="0" w:hanging="0"/>
              <w:jc w:val="left"/>
              <w:rPr/>
            </w:pPr>
            <w:r>
              <w:rPr/>
              <w:t>  ​ ​ ​</w:t>
            </w:r>
          </w:p>
        </w:tc>
        <w:tc>
          <w:tcPr>
            <w:tcW w:w="38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pPr>
            <w:r>
              <w:rPr/>
              <w:t>  ​</w:t>
            </w:r>
          </w:p>
        </w:tc>
        <w:tc>
          <w:tcPr>
            <w:tcW w:w="267" w:type="dxa"/>
            <w:tcBorders/>
            <w:shd w:fill="CCEEFF" w:val="clear"/>
            <w:vAlign w:val="center"/>
          </w:tcPr>
          <w:p>
            <w:pPr>
              <w:pStyle w:val="TableContents"/>
              <w:bidi w:val="0"/>
              <w:spacing w:before="0" w:after="1"/>
              <w:ind w:left="0" w:right="0" w:hanging="0"/>
              <w:jc w:val="left"/>
              <w:rPr/>
            </w:pPr>
            <w:r>
              <w:rPr/>
              <w:t> </w:t>
            </w:r>
          </w:p>
        </w:tc>
        <w:tc>
          <w:tcPr>
            <w:tcW w:w="386"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pPr>
            <w:r>
              <w:rPr/>
              <w:t>  ​</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26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67"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finance lease cost</w:t>
            </w:r>
          </w:p>
        </w:tc>
        <w:tc>
          <w:tcPr>
            <w:tcW w:w="34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26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w:t>
            </w:r>
          </w:p>
        </w:tc>
        <w:tc>
          <w:tcPr>
            <w:tcW w:w="267"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267"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w:t>
            </w:r>
          </w:p>
        </w:tc>
        <w:tc>
          <w:tcPr>
            <w:tcW w:w="267" w:type="dxa"/>
            <w:tcBorders/>
            <w:shd w:fill="CCEEFF" w:val="clear"/>
            <w:vAlign w:val="center"/>
          </w:tcPr>
          <w:p>
            <w:pPr>
              <w:pStyle w:val="TableContents"/>
              <w:bidi w:val="0"/>
              <w:spacing w:before="0" w:after="1"/>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1,518</w:t>
            </w:r>
          </w:p>
        </w:tc>
      </w:tr>
    </w:tbl>
    <w:p>
      <w:pPr>
        <w:pStyle w:val="TextBody"/>
        <w:bidi w:val="0"/>
        <w:spacing w:before="0" w:after="240"/>
        <w:ind w:left="0" w:right="0" w:hanging="0"/>
        <w:jc w:val="both"/>
        <w:rPr/>
      </w:pPr>
      <w:r>
        <w:rPr/>
        <w:t>​</w:t>
      </w:r>
    </w:p>
    <w:tbl>
      <w:tblPr>
        <w:tblW w:w="6123" w:type="dxa"/>
        <w:jc w:val="left"/>
        <w:tblInd w:w="0" w:type="dxa"/>
        <w:tblLayout w:type="fixed"/>
        <w:tblCellMar>
          <w:top w:w="0" w:type="dxa"/>
          <w:left w:w="0" w:type="dxa"/>
          <w:bottom w:w="0" w:type="dxa"/>
          <w:right w:w="0" w:type="dxa"/>
        </w:tblCellMar>
      </w:tblPr>
      <w:tblGrid>
        <w:gridCol w:w="2911"/>
        <w:gridCol w:w="109"/>
        <w:gridCol w:w="358"/>
        <w:gridCol w:w="970"/>
        <w:gridCol w:w="248"/>
        <w:gridCol w:w="358"/>
        <w:gridCol w:w="1169"/>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848485" cy="175260"/>
                      <wp:effectExtent l="0" t="0" r="0" b="0"/>
                      <wp:wrapNone/>
                      <wp:docPr id="282" name="Frame28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27330" cy="175260"/>
                      <wp:effectExtent l="0" t="0" r="0" b="0"/>
                      <wp:wrapNone/>
                      <wp:docPr id="284" name="Frame28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15950" cy="175260"/>
                      <wp:effectExtent l="0" t="0" r="0" b="0"/>
                      <wp:wrapNone/>
                      <wp:docPr id="285" name="Frame285"/>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7480" cy="175260"/>
                      <wp:effectExtent l="0" t="0" r="0" b="0"/>
                      <wp:wrapNone/>
                      <wp:docPr id="286" name="Frame28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7330" cy="175260"/>
                      <wp:effectExtent l="0" t="0" r="0" b="0"/>
                      <wp:wrapNone/>
                      <wp:docPr id="287" name="Frame287"/>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42315" cy="175260"/>
                      <wp:effectExtent l="0" t="0" r="0" b="0"/>
                      <wp:wrapNone/>
                      <wp:docPr id="288" name="Frame288"/>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Six-Month Periods Ended June 30, </w:t>
            </w:r>
          </w:p>
        </w:tc>
      </w:tr>
      <w:tr>
        <w:trPr/>
        <w:tc>
          <w:tcPr>
            <w:tcW w:w="29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48" w:type="dxa"/>
            <w:tcBorders/>
            <w:vAlign w:val="center"/>
          </w:tcPr>
          <w:p>
            <w:pPr>
              <w:pStyle w:val="TableContents"/>
              <w:bidi w:val="0"/>
              <w:spacing w:before="0" w:after="1"/>
              <w:ind w:left="0" w:right="0" w:hanging="0"/>
              <w:jc w:val="left"/>
              <w:rPr/>
            </w:pPr>
            <w:r>
              <w:rPr/>
              <w:t>​</w:t>
            </w:r>
          </w:p>
        </w:tc>
        <w:tc>
          <w:tcPr>
            <w:tcW w:w="1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Finance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pPr>
            <w:r>
              <w:rPr/>
              <w:t>  ​</w:t>
            </w:r>
          </w:p>
        </w:tc>
        <w:tc>
          <w:tcPr>
            <w:tcW w:w="248" w:type="dxa"/>
            <w:tcBorders/>
            <w:shd w:fill="CCEEFF" w:val="clear"/>
            <w:vAlign w:val="center"/>
          </w:tcPr>
          <w:p>
            <w:pPr>
              <w:pStyle w:val="TableContents"/>
              <w:bidi w:val="0"/>
              <w:spacing w:before="0" w:after="1"/>
              <w:ind w:left="0" w:right="0" w:hanging="0"/>
              <w:jc w:val="left"/>
              <w:rPr/>
            </w:pPr>
            <w:r>
              <w:rPr/>
              <w:t> </w:t>
            </w:r>
          </w:p>
        </w:tc>
        <w:tc>
          <w:tcPr>
            <w:tcW w:w="358"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0" w:hanging="0"/>
              <w:jc w:val="right"/>
              <w:rPr/>
            </w:pPr>
            <w:r>
              <w:rPr/>
              <w:t>  ​</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248"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248"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finance lease cost</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248"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 </w:t>
            </w:r>
          </w:p>
        </w:tc>
        <w:tc>
          <w:tcPr>
            <w:tcW w:w="11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w:t>
            </w:r>
          </w:p>
        </w:tc>
        <w:tc>
          <w:tcPr>
            <w:tcW w:w="248"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 </w:t>
            </w:r>
          </w:p>
        </w:tc>
        <w:tc>
          <w:tcPr>
            <w:tcW w:w="11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248"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w:t>
            </w:r>
          </w:p>
        </w:tc>
        <w:tc>
          <w:tcPr>
            <w:tcW w:w="248"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3,180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sz w:val="20"/>
        </w:rPr>
      </w:pPr>
      <w:bookmarkStart w:id="1505" w:name="Tc_480e83VKckeceM9ZUDDCEg_10_5"/>
      <w:bookmarkStart w:id="1506" w:name="Tc_QbdPC3gwqUixaH8TGo0-LQ_10_2"/>
      <w:bookmarkStart w:id="1507" w:name="Tc_kelPmIXwBE6tbqzydXbJ-w_10_0"/>
      <w:bookmarkStart w:id="1508" w:name="Tc_2KWgEqspDU229IXsL9FIPQ_9_0"/>
      <w:bookmarkStart w:id="1509" w:name="Tc_BTHPUaETrkWoxSoMC9vq7A_8_5"/>
      <w:bookmarkStart w:id="1510" w:name="Tc_KvVSWj7Kw0G2olVDxLyTHQ_8_2"/>
      <w:bookmarkStart w:id="1511" w:name="Tc_6tmqqcWp6Ui_E8vohqqD7g_8_0"/>
      <w:bookmarkStart w:id="1512" w:name="Tc_Sf94dKe-W06XR16lwi0UwA_7_6"/>
      <w:bookmarkStart w:id="1513" w:name="Tc_zoOcBxtGMUeL6m7HbcfpuQ_7_0"/>
      <w:bookmarkStart w:id="1514" w:name="Tc_YplApDpRQkC9Gy0uV3VR1Q_6_6"/>
      <w:bookmarkStart w:id="1515" w:name="Tc_X3XOm8XLVkiF47VfELO1sQ_6_0"/>
      <w:bookmarkStart w:id="1516" w:name="Tc_hjlgGW97QkSrWH6WgR7k7w_5_0"/>
      <w:bookmarkStart w:id="1517" w:name="Tc__UpJi2zJikeCXw0shwKnPw_4_0"/>
      <w:bookmarkStart w:id="1518" w:name="Tc_L_6l0LOxGku2VSCQulxfVQ_3_0"/>
      <w:bookmarkStart w:id="1519" w:name="Tc_6HwvF6vkdUiby0XY5ZBLfA_2_5"/>
      <w:bookmarkStart w:id="1520" w:name="Tc__q5kIwb9SEO1yu6IHzEiJg_2_2"/>
      <w:bookmarkStart w:id="1521" w:name="Tc_VDOO5SDNTkOjmXFvv1P2bQ_2_0"/>
      <w:bookmarkStart w:id="1522" w:name="Tc__tRon4MnpEuudVxiWZrmoQ_1_5"/>
      <w:bookmarkStart w:id="1523" w:name="Tc_kVG-abr8s0yd6bEGeTyXqQ_1_2"/>
      <w:bookmarkStart w:id="1524" w:name="_48efd3b5_2197_42d5_aa2a_573e686b7069"/>
      <w:bookmarkStart w:id="1525" w:name="Tc_I4Rg3CvqBkGATMb-2CveFg_5_5"/>
      <w:bookmarkStart w:id="1526" w:name="Tc_xYoJuqhDPUSh7wgP7bNo_Q_5_4"/>
      <w:bookmarkStart w:id="1527" w:name="Tc_6lwptw0nnUmUvvksMt2J8Q_5_1"/>
      <w:bookmarkStart w:id="1528" w:name="Tc_H58Ewf70P0-7PruMmEjPfw_5_0"/>
      <w:bookmarkStart w:id="1529" w:name="Tc_DpUwrzueP0mGWvXLDBOVoQ_4_4"/>
      <w:bookmarkStart w:id="1530" w:name="Tc_3RPLR1To-0SrryW-YIZjtg_4_1"/>
      <w:bookmarkStart w:id="1531" w:name="Tc_n-tcf0_xdEu0Uk-YYxXAqg_4_0"/>
      <w:bookmarkStart w:id="1532" w:name="Tc_jo0cnu_uN0ymlfiFVvzn8Q_3_0"/>
      <w:bookmarkStart w:id="1533" w:name="Tc_NCrkt3cTDE6EhEnuYplBzg_2_4"/>
      <w:bookmarkStart w:id="1534" w:name="Tc_xjhKe5t8lEOd9sRKTbuUZQ_2_1"/>
      <w:bookmarkStart w:id="1535" w:name="Tc_xgkQ5pGmMEmqTryEOnvo1w_1_1"/>
      <w:bookmarkStart w:id="1536" w:name="_a8855389_a592_47c0_8cf8_4caa82ad26e1"/>
      <w:bookmarkStart w:id="1537" w:name="Tc_O_M8lkILTkGLOiC_39XSVg_5_5"/>
      <w:bookmarkStart w:id="1538" w:name="Tc_-g73QZbFJUqEkGkcZQ5Dhg_5_4"/>
      <w:bookmarkStart w:id="1539" w:name="Tc_6C4anFaLE0mPdXbm_2ySag_5_1"/>
      <w:bookmarkStart w:id="1540" w:name="Tc_91XOOpGL9kSGV_1IX95f6w_5_0"/>
      <w:bookmarkStart w:id="1541" w:name="Tc_TpRoYvbpJ02_00YzN61AOQ_4_4"/>
      <w:bookmarkStart w:id="1542" w:name="Tc_RI6zulVTWE-znKvyC3dLaA_4_1"/>
      <w:bookmarkStart w:id="1543" w:name="Tc_n3kHYtDIM0OyMeHcFF--Eg_4_0"/>
      <w:bookmarkStart w:id="1544" w:name="Tc_aLprauUgY0e4WpV42FFp2g_3_0"/>
      <w:bookmarkStart w:id="1545" w:name="Tc_P71ymG1f-kmJwoe52gHdNw_2_4"/>
      <w:bookmarkStart w:id="1546" w:name="Tc_9_ExvF3VsUqMzuzeamePVg_2_1"/>
      <w:bookmarkStart w:id="1547" w:name="Tc_zI_5Rq1T4kCaaUApZXw1Bw_1_1"/>
      <w:bookmarkStart w:id="1548" w:name="_98a6b27c_6742_49ed_97c5_c12d15b85251"/>
      <w:bookmarkStart w:id="1549" w:name="Tc_90_vl8qgo0KQoWsI871imA_14_8"/>
      <w:bookmarkStart w:id="1550" w:name="Tc_AL3DfOF5H0mkN8MBQH5jkQ_14_4"/>
      <w:bookmarkStart w:id="1551" w:name="Tc_-Pc5coUvY0a6tkCzNqYXrA_14_0"/>
      <w:bookmarkStart w:id="1552" w:name="Tc_qKQbsIw1nUy8N7SJm_zB0w_13_8"/>
      <w:bookmarkStart w:id="1553" w:name="Tc_c_NIzMUz3U-YwrHUmc05qQ_13_4"/>
      <w:bookmarkStart w:id="1554" w:name="Tc_li1uEZA41ESmtVjHKpcw9Q_13_0"/>
      <w:bookmarkStart w:id="1555" w:name="Tc_PZnyGobd_UCiTcxgf5KzrQ_12_0"/>
      <w:bookmarkStart w:id="1556" w:name="Tc_u7bJp8MwNUKbj-4obHt19g_11_8"/>
      <w:bookmarkStart w:id="1557" w:name="Tc_U0jWwhsd7UKmvQQ4VbbmmQ_11_4"/>
      <w:bookmarkStart w:id="1558" w:name="Tc__v-Z_9ZKIUmKZUCA7niEiA_11_0"/>
      <w:bookmarkStart w:id="1559" w:name="Tc_eUpRrLLaO0m4K82RQtktBg_10_8"/>
      <w:bookmarkStart w:id="1560" w:name="Tc_6rcp1Ty4kkyVWBk0b0_f7A_10_4"/>
      <w:bookmarkStart w:id="1561" w:name="Tc_z044iRGjwUWo731YA_jwVg_10_0"/>
      <w:bookmarkStart w:id="1562" w:name="Tc_Lz7hygb4nkODZn990jyMmQ_9_0"/>
      <w:bookmarkStart w:id="1563" w:name="Tc_p96z1cOj8UukGL3AjeRByQ_8_6"/>
      <w:bookmarkStart w:id="1564" w:name="Tc_y8Tfr8oSC0ef5NP5nJtUCg_8_2"/>
      <w:bookmarkStart w:id="1565" w:name="Tc_lg6b0s2GYEC3RNWalb68aQ_8_0"/>
      <w:bookmarkStart w:id="1566" w:name="Tc_wAhWfjrU8EmK6QkvZoOMnw_7_6"/>
      <w:bookmarkStart w:id="1567" w:name="Tc_v_V-KNvwkUuUk12ja5nM2A_7_2"/>
      <w:bookmarkStart w:id="1568" w:name="Tc_ppNtJNhXKUWB52GvcQQ2Jg_7_0"/>
      <w:bookmarkStart w:id="1569" w:name="Tc_w4m680wBFUqgzd5YXa71RA_6_0"/>
      <w:bookmarkStart w:id="1570" w:name="Tc_hYKSluEu10qWEDDfnXVA0A_5_6"/>
      <w:bookmarkStart w:id="1571" w:name="Tc_QJl9l0qrMEqfZvCKCoVFJw_5_2"/>
      <w:bookmarkStart w:id="1572" w:name="Tc_OmDenIN3A0W9NavaH_UTmA_5_0"/>
      <w:bookmarkStart w:id="1573" w:name="Tc_NioDBM01rE6MqKoaFeoexQ_4_6"/>
      <w:bookmarkStart w:id="1574" w:name="Tc_sN4wrXXlu0--hWgV0iNLVQ_4_2"/>
      <w:bookmarkStart w:id="1575" w:name="Tc_NzY1BgABaU6o_vsQKrAVhQ_4_0"/>
      <w:bookmarkStart w:id="1576" w:name="Tc_Rj8R0wu06027Adviu0VQPA_3_0"/>
      <w:bookmarkStart w:id="1577" w:name="Tc_Bw5td-P9RUaUPdgkPSnRxg_2_6"/>
      <w:bookmarkStart w:id="1578" w:name="Tc_zpYkfdfnWUqpcKX8kzWeYA_2_2"/>
      <w:bookmarkStart w:id="1579" w:name="Tc_Z0Lyj6KepkS7adcxNYfueQ_1_6"/>
      <w:bookmarkStart w:id="1580" w:name="Tc_j3D57pZUvUCTIN4JZOpV-g_1_2"/>
      <w:bookmarkStart w:id="1581" w:name="_2650d26f_cbdf_4f8d_8b70_fecc24d20713"/>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r>
        <w:rPr>
          <w:rFonts w:ascii="Times New Roman;Times;serif" w:hAnsi="Times New Roman;Times;serif"/>
          <w:sz w:val="20"/>
        </w:rPr>
        <w:t>Amounts reported in the condensed consolidated balance sheets for leases where the Company is the lessee as of June 30, 2026 and December 31, 2025 were as follows (in thousands):</w:t>
      </w:r>
    </w:p>
    <w:p>
      <w:pPr>
        <w:pStyle w:val="TextBody"/>
        <w:bidi w:val="0"/>
        <w:spacing w:before="0" w:after="240"/>
        <w:ind w:left="490" w:right="0" w:hanging="0"/>
        <w:jc w:val="both"/>
        <w:rPr/>
      </w:pPr>
      <w:r>
        <w:rPr/>
        <w:t>​</w:t>
      </w:r>
    </w:p>
    <w:tbl>
      <w:tblPr>
        <w:tblW w:w="7262" w:type="dxa"/>
        <w:jc w:val="left"/>
        <w:tblInd w:w="0" w:type="dxa"/>
        <w:tblLayout w:type="fixed"/>
        <w:tblCellMar>
          <w:top w:w="0" w:type="dxa"/>
          <w:left w:w="0" w:type="dxa"/>
          <w:bottom w:w="0" w:type="dxa"/>
          <w:right w:w="0" w:type="dxa"/>
        </w:tblCellMar>
      </w:tblPr>
      <w:tblGrid>
        <w:gridCol w:w="3526"/>
        <w:gridCol w:w="346"/>
        <w:gridCol w:w="211"/>
        <w:gridCol w:w="676"/>
        <w:gridCol w:w="526"/>
        <w:gridCol w:w="146"/>
        <w:gridCol w:w="299"/>
        <w:gridCol w:w="961"/>
        <w:gridCol w:w="57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39010" cy="175260"/>
                      <wp:effectExtent l="0" t="0" r="0" b="0"/>
                      <wp:wrapNone/>
                      <wp:docPr id="289" name="Frame28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2" name="Frame2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34010" cy="175260"/>
                      <wp:effectExtent l="0" t="0" r="0" b="0"/>
                      <wp:wrapNone/>
                      <wp:docPr id="293" name="Frame29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94" name="Frame2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89865" cy="175260"/>
                      <wp:effectExtent l="0" t="0" r="0" b="0"/>
                      <wp:wrapNone/>
                      <wp:docPr id="295" name="Frame29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10235" cy="175260"/>
                      <wp:effectExtent l="0" t="0" r="0" b="0"/>
                      <wp:wrapNone/>
                      <wp:docPr id="296" name="Frame29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7" name="Frame2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5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center"/>
              <w:rPr/>
            </w:pPr>
            <w:r>
              <w:rPr/>
              <w:t> </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571" w:type="dxa"/>
            <w:tcBorders/>
            <w:vAlign w:val="center"/>
          </w:tcPr>
          <w:p>
            <w:pPr>
              <w:pStyle w:val="TableContents"/>
              <w:bidi w:val="0"/>
              <w:spacing w:before="0" w:after="1"/>
              <w:ind w:left="0" w:right="0" w:hanging="0"/>
              <w:jc w:val="center"/>
              <w:rPr/>
            </w:pPr>
            <w:r>
              <w:rPr/>
              <w:t>​</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71"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5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11,524</w:t>
            </w:r>
          </w:p>
        </w:tc>
        <w:tc>
          <w:tcPr>
            <w:tcW w:w="5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12,852</w:t>
            </w:r>
          </w:p>
        </w:tc>
        <w:tc>
          <w:tcPr>
            <w:tcW w:w="571"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12,196</w:t>
            </w:r>
          </w:p>
        </w:tc>
        <w:tc>
          <w:tcPr>
            <w:tcW w:w="5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14,202</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Finance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5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571"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22,424</w:t>
            </w:r>
          </w:p>
        </w:tc>
        <w:tc>
          <w:tcPr>
            <w:tcW w:w="5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23,616</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lease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5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571"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remaining lease 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5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discount rate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490" w:right="0" w:hanging="0"/>
        <w:jc w:val="both"/>
        <w:rPr/>
      </w:pPr>
      <w:r>
        <w:rPr/>
        <w:t>​</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 xml:space="preserve">Other information related to leases for the three-month and six-month periods ended June 30, 2026 and 2025 are as follows (in thousands): </w:t>
      </w:r>
    </w:p>
    <w:p>
      <w:pPr>
        <w:pStyle w:val="TextBody"/>
        <w:bidi w:val="0"/>
        <w:spacing w:before="0" w:after="240"/>
        <w:ind w:left="490" w:right="0" w:hanging="0"/>
        <w:jc w:val="both"/>
        <w:rPr/>
      </w:pPr>
      <w:r>
        <w:rPr/>
        <w:t>​</w:t>
      </w:r>
    </w:p>
    <w:tbl>
      <w:tblPr>
        <w:tblW w:w="9346" w:type="dxa"/>
        <w:jc w:val="left"/>
        <w:tblInd w:w="0" w:type="dxa"/>
        <w:tblLayout w:type="fixed"/>
        <w:tblCellMar>
          <w:top w:w="0" w:type="dxa"/>
          <w:left w:w="0" w:type="dxa"/>
          <w:bottom w:w="0" w:type="dxa"/>
          <w:right w:w="0" w:type="dxa"/>
        </w:tblCellMar>
      </w:tblPr>
      <w:tblGrid>
        <w:gridCol w:w="6001"/>
        <w:gridCol w:w="361"/>
        <w:gridCol w:w="977"/>
        <w:gridCol w:w="592"/>
        <w:gridCol w:w="361"/>
        <w:gridCol w:w="1054"/>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810635" cy="175260"/>
                      <wp:effectExtent l="0" t="0" r="0" b="0"/>
                      <wp:wrapNone/>
                      <wp:docPr id="298" name="Frame298"/>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29235" cy="175260"/>
                      <wp:effectExtent l="0" t="0" r="0" b="0"/>
                      <wp:wrapNone/>
                      <wp:docPr id="299" name="Frame29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20395" cy="175260"/>
                      <wp:effectExtent l="0" t="0" r="0" b="0"/>
                      <wp:wrapNone/>
                      <wp:docPr id="300" name="Frame300"/>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75920" cy="175260"/>
                      <wp:effectExtent l="0" t="0" r="0" b="0"/>
                      <wp:wrapNone/>
                      <wp:docPr id="301" name="Frame301"/>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9235" cy="175260"/>
                      <wp:effectExtent l="0" t="0" r="0" b="0"/>
                      <wp:wrapNone/>
                      <wp:docPr id="302" name="Frame3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69290" cy="175260"/>
                      <wp:effectExtent l="0" t="0" r="0" b="0"/>
                      <wp:wrapNone/>
                      <wp:docPr id="303" name="Frame303"/>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1"/>
              <w:ind w:left="0" w:right="0" w:hanging="0"/>
              <w:jc w:val="left"/>
              <w:rPr/>
            </w:pPr>
            <w:r>
              <w:rPr/>
              <w:t>​</w:t>
            </w:r>
          </w:p>
        </w:tc>
        <w:tc>
          <w:tcPr>
            <w:tcW w:w="33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Three-Month Periods Ended June 30, </w:t>
            </w:r>
          </w:p>
        </w:tc>
      </w:tr>
      <w:tr>
        <w:trPr/>
        <w:tc>
          <w:tcPr>
            <w:tcW w:w="6001" w:type="dxa"/>
            <w:tcBorders/>
            <w:vAlign w:val="center"/>
          </w:tcPr>
          <w:p>
            <w:pPr>
              <w:pStyle w:val="TableContents"/>
              <w:bidi w:val="0"/>
              <w:spacing w:before="0" w:after="1"/>
              <w:ind w:left="0" w:right="0" w:hanging="0"/>
              <w:jc w:val="left"/>
              <w:rPr/>
            </w:pPr>
            <w:r>
              <w:rPr/>
              <w:t>​</w:t>
            </w:r>
          </w:p>
        </w:tc>
        <w:tc>
          <w:tcPr>
            <w:tcW w:w="13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92" w:type="dxa"/>
            <w:tcBorders/>
            <w:vAlign w:val="center"/>
          </w:tcPr>
          <w:p>
            <w:pPr>
              <w:pStyle w:val="TableContents"/>
              <w:bidi w:val="0"/>
              <w:spacing w:before="0" w:after="1"/>
              <w:ind w:left="0" w:right="0" w:hanging="0"/>
              <w:jc w:val="center"/>
              <w:rPr/>
            </w:pPr>
            <w:r>
              <w:rPr/>
              <w:t>​</w:t>
            </w:r>
          </w:p>
        </w:tc>
        <w:tc>
          <w:tcPr>
            <w:tcW w:w="14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paid for amounts included in the measurement of lease liabilities</w:t>
            </w:r>
          </w:p>
        </w:tc>
        <w:tc>
          <w:tcPr>
            <w:tcW w:w="36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  ​</w:t>
            </w:r>
          </w:p>
        </w:tc>
        <w:tc>
          <w:tcPr>
            <w:tcW w:w="592" w:type="dxa"/>
            <w:tcBorders/>
            <w:shd w:fill="CCEEFF" w:val="clear"/>
            <w:vAlign w:val="center"/>
          </w:tcPr>
          <w:p>
            <w:pPr>
              <w:pStyle w:val="TableContents"/>
              <w:bidi w:val="0"/>
              <w:spacing w:before="0" w:after="1"/>
              <w:ind w:left="0" w:right="0" w:hanging="0"/>
              <w:jc w:val="right"/>
              <w:rPr/>
            </w:pPr>
            <w:r>
              <w:rPr/>
              <w:t>  ​ ​ ​</w:t>
            </w:r>
          </w:p>
        </w:tc>
        <w:tc>
          <w:tcPr>
            <w:tcW w:w="361" w:type="dxa"/>
            <w:tcBorders/>
            <w:shd w:fill="CCEEFF" w:val="clear"/>
            <w:vAlign w:val="center"/>
          </w:tcPr>
          <w:p>
            <w:pPr>
              <w:pStyle w:val="TableContents"/>
              <w:bidi w:val="0"/>
              <w:spacing w:before="0" w:after="1"/>
              <w:ind w:left="0" w:right="0" w:hanging="0"/>
              <w:jc w:val="left"/>
              <w:rPr/>
            </w:pPr>
            <w:r>
              <w:rPr/>
              <w:t> </w:t>
            </w:r>
          </w:p>
        </w:tc>
        <w:tc>
          <w:tcPr>
            <w:tcW w:w="1054" w:type="dxa"/>
            <w:tcBorders/>
            <w:shd w:fill="CCEEFF" w:val="clear"/>
            <w:vAlign w:val="center"/>
          </w:tcPr>
          <w:p>
            <w:pPr>
              <w:pStyle w:val="TableContents"/>
              <w:bidi w:val="0"/>
              <w:spacing w:before="0" w:after="1"/>
              <w:ind w:left="0" w:right="0" w:hanging="0"/>
              <w:jc w:val="right"/>
              <w:rPr/>
            </w:pPr>
            <w:r>
              <w:rPr/>
              <w:t>  ​</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592"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cash flows from finance leases</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59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tbl>
      <w:tblPr>
        <w:tblW w:w="9060" w:type="dxa"/>
        <w:jc w:val="left"/>
        <w:tblInd w:w="0" w:type="dxa"/>
        <w:tblLayout w:type="fixed"/>
        <w:tblCellMar>
          <w:top w:w="0" w:type="dxa"/>
          <w:left w:w="0" w:type="dxa"/>
          <w:bottom w:w="0" w:type="dxa"/>
          <w:right w:w="0" w:type="dxa"/>
        </w:tblCellMar>
      </w:tblPr>
      <w:tblGrid>
        <w:gridCol w:w="6001"/>
        <w:gridCol w:w="330"/>
        <w:gridCol w:w="894"/>
        <w:gridCol w:w="541"/>
        <w:gridCol w:w="330"/>
        <w:gridCol w:w="964"/>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810635" cy="175260"/>
                      <wp:effectExtent l="0" t="0" r="0" b="0"/>
                      <wp:wrapNone/>
                      <wp:docPr id="304" name="Frame304"/>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9550" cy="175260"/>
                      <wp:effectExtent l="0" t="0" r="0" b="0"/>
                      <wp:wrapNone/>
                      <wp:docPr id="305" name="Frame305"/>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67690" cy="175260"/>
                      <wp:effectExtent l="0" t="0" r="0" b="0"/>
                      <wp:wrapNone/>
                      <wp:docPr id="306" name="Frame306"/>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43535" cy="175260"/>
                      <wp:effectExtent l="0" t="0" r="0" b="0"/>
                      <wp:wrapNone/>
                      <wp:docPr id="307" name="Frame30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9550" cy="175260"/>
                      <wp:effectExtent l="0" t="0" r="0" b="0"/>
                      <wp:wrapNone/>
                      <wp:docPr id="308" name="Frame30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12140" cy="175260"/>
                      <wp:effectExtent l="0" t="0" r="0" b="0"/>
                      <wp:wrapNone/>
                      <wp:docPr id="309" name="Frame30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1"/>
              <w:ind w:left="0" w:right="0" w:hanging="0"/>
              <w:jc w:val="left"/>
              <w:rPr/>
            </w:pPr>
            <w:r>
              <w:rPr/>
              <w:t>​</w:t>
            </w:r>
          </w:p>
        </w:tc>
        <w:tc>
          <w:tcPr>
            <w:tcW w:w="30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Six-Month Periods Ended June 30,</w:t>
            </w:r>
          </w:p>
        </w:tc>
      </w:tr>
      <w:tr>
        <w:trPr/>
        <w:tc>
          <w:tcPr>
            <w:tcW w:w="6001" w:type="dxa"/>
            <w:tcBorders/>
            <w:vAlign w:val="center"/>
          </w:tcPr>
          <w:p>
            <w:pPr>
              <w:pStyle w:val="TableContents"/>
              <w:bidi w:val="0"/>
              <w:spacing w:before="0" w:after="1"/>
              <w:ind w:left="0" w:right="0" w:hanging="0"/>
              <w:jc w:val="left"/>
              <w:rPr/>
            </w:pPr>
            <w:r>
              <w:rPr/>
              <w:t>​</w:t>
            </w:r>
          </w:p>
        </w:tc>
        <w:tc>
          <w:tcPr>
            <w:tcW w:w="12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41" w:type="dxa"/>
            <w:tcBorders/>
            <w:vAlign w:val="center"/>
          </w:tcPr>
          <w:p>
            <w:pPr>
              <w:pStyle w:val="TableContents"/>
              <w:bidi w:val="0"/>
              <w:spacing w:before="0" w:after="1"/>
              <w:ind w:left="0" w:right="0" w:hanging="0"/>
              <w:jc w:val="center"/>
              <w:rPr/>
            </w:pPr>
            <w:r>
              <w:rPr/>
              <w:t>​</w:t>
            </w:r>
          </w:p>
        </w:tc>
        <w:tc>
          <w:tcPr>
            <w:tcW w:w="12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paid for amounts included in the measurement of lease liabilities</w:t>
            </w:r>
          </w:p>
        </w:tc>
        <w:tc>
          <w:tcPr>
            <w:tcW w:w="330"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541" w:type="dxa"/>
            <w:tcBorders/>
            <w:shd w:fill="CCEEFF" w:val="clear"/>
            <w:vAlign w:val="center"/>
          </w:tcPr>
          <w:p>
            <w:pPr>
              <w:pStyle w:val="TableContents"/>
              <w:bidi w:val="0"/>
              <w:spacing w:before="0" w:after="1"/>
              <w:ind w:left="0" w:right="0" w:hanging="0"/>
              <w:jc w:val="right"/>
              <w:rPr/>
            </w:pPr>
            <w:r>
              <w:rPr/>
              <w:t>  ​ ​ ​</w:t>
            </w:r>
          </w:p>
        </w:tc>
        <w:tc>
          <w:tcPr>
            <w:tcW w:w="330" w:type="dxa"/>
            <w:tcBorders/>
            <w:shd w:fill="CCEEFF" w:val="clear"/>
            <w:vAlign w:val="center"/>
          </w:tcPr>
          <w:p>
            <w:pPr>
              <w:pStyle w:val="TableContents"/>
              <w:bidi w:val="0"/>
              <w:spacing w:before="0" w:after="1"/>
              <w:ind w:left="0" w:right="0" w:hanging="0"/>
              <w:jc w:val="left"/>
              <w:rPr/>
            </w:pPr>
            <w:r>
              <w:rPr/>
              <w:t> </w:t>
            </w:r>
          </w:p>
        </w:tc>
        <w:tc>
          <w:tcPr>
            <w:tcW w:w="964" w:type="dxa"/>
            <w:tcBorders/>
            <w:shd w:fill="CCEEFF" w:val="clear"/>
            <w:vAlign w:val="center"/>
          </w:tcPr>
          <w:p>
            <w:pPr>
              <w:pStyle w:val="TableContents"/>
              <w:bidi w:val="0"/>
              <w:spacing w:before="0" w:after="1"/>
              <w:ind w:left="0" w:right="0" w:hanging="0"/>
              <w:jc w:val="right"/>
              <w:rPr/>
            </w:pPr>
            <w:r>
              <w:rPr/>
              <w:t>  ​</w:t>
            </w:r>
          </w:p>
        </w:tc>
      </w:tr>
      <w:tr>
        <w:trPr/>
        <w:tc>
          <w:tcPr>
            <w:tcW w:w="6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w:t>
            </w:r>
          </w:p>
        </w:tc>
        <w:tc>
          <w:tcPr>
            <w:tcW w:w="541"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w:t>
            </w:r>
          </w:p>
        </w:tc>
      </w:tr>
      <w:tr>
        <w:trPr/>
        <w:tc>
          <w:tcPr>
            <w:tcW w:w="6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cash flows from finance leases</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541" w:type="dxa"/>
            <w:tcBorders/>
            <w:shd w:fill="CCEEFF" w:val="cle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490" w:right="0" w:hanging="0"/>
        <w:jc w:val="left"/>
        <w:rPr/>
      </w:pPr>
      <w:r>
        <w:rPr/>
        <w:t>​</w:t>
      </w:r>
    </w:p>
    <w:p>
      <w:pPr>
        <w:pStyle w:val="TextBody"/>
        <w:bidi w:val="0"/>
        <w:spacing w:before="0" w:after="0"/>
        <w:ind w:left="490" w:right="0" w:hanging="0"/>
        <w:jc w:val="left"/>
        <w:rPr>
          <w:rFonts w:ascii="Times New Roman;Times;serif" w:hAnsi="Times New Roman;Times;serif"/>
          <w:sz w:val="20"/>
        </w:rPr>
      </w:pPr>
      <w:r>
        <w:rPr>
          <w:rFonts w:ascii="Times New Roman;Times;serif" w:hAnsi="Times New Roman;Times;serif"/>
          <w:sz w:val="20"/>
        </w:rPr>
        <w:t xml:space="preserve">Future minimum lease payments under non-cancellable leases as of June 30, 2026 are as follows (in thousands): </w:t>
      </w:r>
    </w:p>
    <w:p>
      <w:pPr>
        <w:pStyle w:val="TextBody"/>
        <w:bidi w:val="0"/>
        <w:spacing w:before="0" w:after="240"/>
        <w:ind w:left="0" w:right="0" w:hanging="0"/>
        <w:jc w:val="both"/>
        <w:rPr/>
      </w:pPr>
      <w:r>
        <w:rPr/>
        <w:t>​</w:t>
      </w:r>
    </w:p>
    <w:tbl>
      <w:tblPr>
        <w:tblW w:w="6890" w:type="dxa"/>
        <w:jc w:val="left"/>
        <w:tblInd w:w="0" w:type="dxa"/>
        <w:tblLayout w:type="fixed"/>
        <w:tblCellMar>
          <w:top w:w="0" w:type="dxa"/>
          <w:left w:w="0" w:type="dxa"/>
          <w:bottom w:w="0" w:type="dxa"/>
          <w:right w:w="0" w:type="dxa"/>
        </w:tblCellMar>
      </w:tblPr>
      <w:tblGrid>
        <w:gridCol w:w="3061"/>
        <w:gridCol w:w="346"/>
        <w:gridCol w:w="378"/>
        <w:gridCol w:w="1213"/>
        <w:gridCol w:w="346"/>
        <w:gridCol w:w="435"/>
        <w:gridCol w:w="111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943735" cy="175260"/>
                      <wp:effectExtent l="0" t="0" r="0" b="0"/>
                      <wp:wrapNone/>
                      <wp:docPr id="310" name="Frame310"/>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40030" cy="175260"/>
                      <wp:effectExtent l="0" t="0" r="0" b="0"/>
                      <wp:wrapNone/>
                      <wp:docPr id="312" name="Frame312"/>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70255" cy="175260"/>
                      <wp:effectExtent l="0" t="0" r="0" b="0"/>
                      <wp:wrapNone/>
                      <wp:docPr id="313" name="Frame313"/>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76225" cy="175260"/>
                      <wp:effectExtent l="0" t="0" r="0" b="0"/>
                      <wp:wrapNone/>
                      <wp:docPr id="315" name="Frame315"/>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05485" cy="175260"/>
                      <wp:effectExtent l="0" t="0" r="0" b="0"/>
                      <wp:wrapNone/>
                      <wp:docPr id="316" name="Frame31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Finance Leases </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w:t>
            </w:r>
          </w:p>
        </w:tc>
        <w:tc>
          <w:tcPr>
            <w:tcW w:w="346"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46"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w:t>
            </w:r>
          </w:p>
        </w:tc>
        <w:tc>
          <w:tcPr>
            <w:tcW w:w="346"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346"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346"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w:t>
            </w:r>
          </w:p>
        </w:tc>
        <w:tc>
          <w:tcPr>
            <w:tcW w:w="346" w:type="dxa"/>
            <w:tcBorders/>
            <w:vAlign w:val="center"/>
          </w:tcPr>
          <w:p>
            <w:pPr>
              <w:pStyle w:val="TableContents"/>
              <w:bidi w:val="0"/>
              <w:spacing w:before="0" w:after="0"/>
              <w:ind w:left="0" w:right="0" w:hanging="0"/>
              <w:jc w:val="righ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undiscounted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17,424</w:t>
            </w:r>
          </w:p>
        </w:tc>
        <w:tc>
          <w:tcPr>
            <w:tcW w:w="346"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w:t>
            </w:r>
          </w:p>
        </w:tc>
        <w:tc>
          <w:tcPr>
            <w:tcW w:w="346" w:type="dxa"/>
            <w:tcBorders/>
            <w:vAlign w:val="center"/>
          </w:tcPr>
          <w:p>
            <w:pPr>
              <w:pStyle w:val="TableContents"/>
              <w:bidi w:val="0"/>
              <w:spacing w:before="0" w:after="0"/>
              <w:ind w:left="0" w:right="0" w:hanging="0"/>
              <w:jc w:val="righ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12,196</w:t>
            </w:r>
          </w:p>
        </w:tc>
        <w:tc>
          <w:tcPr>
            <w:tcW w:w="346" w:type="dxa"/>
            <w:tcBorders/>
            <w:shd w:fill="CCEEFF" w:val="clear"/>
            <w:vAlign w:val="center"/>
          </w:tcPr>
          <w:p>
            <w:pPr>
              <w:pStyle w:val="TableContents"/>
              <w:bidi w:val="0"/>
              <w:spacing w:before="0" w:after="0"/>
              <w:ind w:left="0" w:right="0" w:hanging="0"/>
              <w:jc w:val="righ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0"/>
        <w:ind w:left="446"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Debt Financing</w:t>
      </w:r>
    </w:p>
    <w:p>
      <w:pPr>
        <w:pStyle w:val="TextBody"/>
        <w:bidi w:val="0"/>
        <w:spacing w:before="0" w:after="200"/>
        <w:ind w:left="0" w:right="0" w:firstLine="446"/>
        <w:jc w:val="left"/>
        <w:rPr>
          <w:rFonts w:ascii="Times New Roman;Times;serif" w:hAnsi="Times New Roman;Times;serif"/>
          <w:b/>
          <w:i/>
          <w:sz w:val="20"/>
        </w:rPr>
      </w:pPr>
      <w:r>
        <w:rPr>
          <w:rFonts w:ascii="Times New Roman;Times;serif" w:hAnsi="Times New Roman;Times;serif"/>
          <w:b/>
          <w:i/>
          <w:sz w:val="20"/>
        </w:rPr>
        <w:t>Notes Purchase Agreement</w:t>
      </w:r>
    </w:p>
    <w:p>
      <w:pPr>
        <w:pStyle w:val="TextBody"/>
        <w:bidi w:val="0"/>
        <w:spacing w:before="0" w:after="180"/>
        <w:ind w:left="446" w:right="0" w:hanging="0"/>
        <w:jc w:val="both"/>
        <w:rPr>
          <w:rFonts w:ascii="Times New Roman;Times;serif" w:hAnsi="Times New Roman;Times;serif"/>
          <w:sz w:val="20"/>
        </w:rPr>
      </w:pPr>
      <w:r>
        <w:rPr>
          <w:rFonts w:ascii="Times New Roman;Times;serif" w:hAnsi="Times New Roman;Times;serif"/>
          <w:sz w:val="20"/>
        </w:rPr>
        <w:t>On August 2, 2022, the Company and the Subsidiary Guarantors entered into the Financing Agreement with Perceptive, which was converted on December 19, 2022 into a Notes Purchase Agreement on substantially the same economic terms and conditions as the Financing Agreement, subject to certain customary note constitution provisions. The Notes Purchase Agreement provided for an initial issuance of $75.0 million of senior secured notes.</w:t>
      </w:r>
    </w:p>
    <w:p>
      <w:pPr>
        <w:pStyle w:val="TextBody"/>
        <w:bidi w:val="0"/>
        <w:spacing w:before="0" w:after="180"/>
        <w:ind w:left="446"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the Notes Purchase Agreement was amended to extend its maturity date to July 1, 2027 and to require the repayment of $25.0 million of the outstanding principal on or before June 30, 2026. Outstanding borrowings bore interest at a variable annual rate equal to 10.0% plus one-month </w:t>
      </w:r>
      <w:r>
        <w:rPr>
          <w:rFonts w:ascii="Times New Roman;Times;serif" w:hAnsi="Times New Roman;Times;serif"/>
          <w:b w:val="false"/>
          <w:i w:val="false"/>
          <w:caps w:val="false"/>
          <w:smallCaps w:val="false"/>
          <w:sz w:val="20"/>
        </w:rPr>
        <w:t>secured</w:t>
      </w:r>
      <w:r>
        <w:rPr>
          <w:rFonts w:ascii="Times New Roman;Times;serif" w:hAnsi="Times New Roman;Times;serif"/>
          <w:sz w:val="20"/>
        </w:rPr>
        <w:t xml:space="preserve"> overnight financing rate, subject to a 1.0% floor. The effective interest rate was 13.67% on June 30, 2026.</w:t>
      </w:r>
    </w:p>
    <w:p>
      <w:pPr>
        <w:pStyle w:val="TextBody"/>
        <w:bidi w:val="0"/>
        <w:spacing w:before="0" w:after="180"/>
        <w:ind w:left="446" w:right="0" w:hanging="0"/>
        <w:jc w:val="both"/>
        <w:rPr>
          <w:rFonts w:ascii="Times New Roman;Times;serif" w:hAnsi="Times New Roman;Times;serif"/>
          <w:sz w:val="20"/>
        </w:rPr>
      </w:pPr>
      <w:r>
        <w:rPr>
          <w:rFonts w:ascii="Times New Roman;Times;serif" w:hAnsi="Times New Roman;Times;serif"/>
          <w:sz w:val="20"/>
        </w:rPr>
        <w:t>On June 30, 2026, the Company voluntarily repaid all outstanding principal and accrued interest under the Notes Purchase Agreement, resulting in the full repayment and termination of such agreement. No early redemption fee was incurred. Upon termination, all collateral securing the outstanding debt, including the Company’s manufacturing facilities in London, United Kingdom and Shannon, Ireland, certain cash balances, the bank accounts of the subsidiary guarantors, and the equity interests of the Subsidiary Guarantors, together with the related security interests and covenants, were released.</w:t>
      </w:r>
    </w:p>
    <w:p>
      <w:pPr>
        <w:pStyle w:val="TextBody"/>
        <w:bidi w:val="0"/>
        <w:spacing w:before="0" w:after="180"/>
        <w:ind w:left="446" w:right="0" w:hanging="0"/>
        <w:jc w:val="both"/>
        <w:rPr>
          <w:rFonts w:ascii="Times New Roman;Times;serif" w:hAnsi="Times New Roman;Times;serif"/>
          <w:sz w:val="20"/>
        </w:rPr>
      </w:pPr>
      <w:r>
        <w:rPr>
          <w:rFonts w:ascii="Times New Roman;Times;serif" w:hAnsi="Times New Roman;Times;serif"/>
          <w:sz w:val="20"/>
        </w:rPr>
        <w:t>During the three months ended June 30, 2026 and 2025, the Company recognized interest expense of $2.6 million and $2.7 million, respectively. During the six months ended June 30, 2026 and 2025, interest expense was $5.2 million and $5.4 million, respectively.</w:t>
      </w:r>
    </w:p>
    <w:p>
      <w:pPr>
        <w:pStyle w:val="TextBody"/>
        <w:bidi w:val="0"/>
        <w:spacing w:before="0" w:after="180"/>
        <w:ind w:left="446" w:right="0" w:hanging="0"/>
        <w:jc w:val="both"/>
        <w:rPr>
          <w:rFonts w:ascii="Times New Roman;Times;serif" w:hAnsi="Times New Roman;Times;serif"/>
          <w:sz w:val="20"/>
        </w:rPr>
      </w:pPr>
      <w:r>
        <w:rPr>
          <w:rFonts w:ascii="Times New Roman;Times;serif" w:hAnsi="Times New Roman;Times;serif"/>
          <w:sz w:val="20"/>
        </w:rPr>
        <w:t>Debt issuance costs, including lender fees and legal costs, were recorded as a discount to the Notes Purchase Agreement and amortized to interest expense over the expected term of the facility using the effective interest method. At June 30, 2026, the remaining unamortized discount of $0.3 million was written off to interest expense in connection with the repayment and termination of the Notes Purchase Agreement.</w:t>
      </w:r>
    </w:p>
    <w:p>
      <w:pPr>
        <w:pStyle w:val="TextBody"/>
        <w:bidi w:val="0"/>
        <w:spacing w:before="0" w:after="180"/>
        <w:ind w:left="446" w:right="0" w:hanging="0"/>
        <w:jc w:val="both"/>
        <w:rPr>
          <w:rFonts w:ascii="Times New Roman;Times;serif" w:hAnsi="Times New Roman;Times;serif"/>
          <w:sz w:val="20"/>
        </w:rPr>
      </w:pPr>
      <w:r>
        <w:rPr>
          <w:rFonts w:ascii="Times New Roman;Times;serif" w:hAnsi="Times New Roman;Times;serif"/>
          <w:sz w:val="20"/>
        </w:rPr>
        <w:t>In connection with entering into the Financing Agreement, the Company granted warrants to Perceptive to purchase up to (i) 400,000 ordinary shares of the Company at an exercise price of $15.00 per share and (ii) 300,000 ordinary shares of the Company at an exercise price of $20.00 per share. Pursuant to an amendment entered into on March 25, 2026, the warrants were amended to change the exercise price to $8.00 per share. The warrants are exercisable immediately and expire on August 2, 2027.</w:t>
      </w:r>
    </w:p>
    <w:p>
      <w:pPr>
        <w:pStyle w:val="TextBody"/>
        <w:bidi w:val="0"/>
        <w:spacing w:before="0" w:after="200"/>
        <w:ind w:left="0" w:right="0" w:firstLine="446"/>
        <w:jc w:val="left"/>
        <w:rPr>
          <w:rFonts w:ascii="Times New Roman;Times;serif" w:hAnsi="Times New Roman;Times;serif"/>
          <w:b/>
          <w:i/>
          <w:sz w:val="20"/>
        </w:rPr>
      </w:pPr>
      <w:r>
        <w:rPr>
          <w:rFonts w:ascii="Times New Roman;Times;serif" w:hAnsi="Times New Roman;Times;serif"/>
          <w:b/>
          <w:i/>
          <w:sz w:val="20"/>
        </w:rPr>
        <w:t>Royalty Note Purchase Agreement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On June 30, 2026, MeiraGTx, LLC, as issuer, and MeiraGTx Holdings and certain of its subsidiaries entered into a Royalty Note Purchase Agreement (the “Royalty Note Purchase Agreement”) with Maverick SA LLC (an affiliate of funds managed by Oberland Capital) as purchaser agent, and certain purchasers (“Purchasers”), pursuant to which the Purchasers purchased an aggregate of $100.0 million of senior secured royalty notes (“Royalty Notes”).</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Each Purchaser agreed to purchase additional Royalty Notes, subject to the satisfaction of certain conditions and prior to the applicable funding deadline for each purchase tranche. The Purchasers’ funding commitments remain available until the earliest of the applicable funding deadline for each purchase tranche or the occurrence of certain specified termination events, including a change of control, repayment or maturity of the outstanding balance, termination of the commitments in accordance with the Royalty Note Purchase Agreement, or the end of the revenue payment period. The additional purchase commitments are as follows:</w:t>
      </w:r>
    </w:p>
    <w:p>
      <w:pPr>
        <w:pStyle w:val="TextBody"/>
        <w:bidi w:val="0"/>
        <w:spacing w:before="0" w:after="0"/>
        <w:ind w:left="45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second purchase of an aggregate of $25.0</w:t>
            </w:r>
            <w:r>
              <w:rPr>
                <w:caps w:val="false"/>
                <w:smallCaps w:val="false"/>
              </w:rPr>
              <w:t xml:space="preserve"> </w:t>
            </w:r>
            <w:r>
              <w:rPr>
                <w:rFonts w:ascii="Times New Roman;Times;serif" w:hAnsi="Times New Roman;Times;serif"/>
                <w:b w:val="false"/>
                <w:i w:val="false"/>
                <w:caps w:val="false"/>
                <w:smallCaps w:val="false"/>
                <w:sz w:val="20"/>
              </w:rPr>
              <w:t>million of Royalty Notes in one purchase on July 17, 2026 (the “Second Purchase”);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additional Purchase of an aggregate of $50.0</w:t>
            </w:r>
            <w:r>
              <w:rPr>
                <w:caps w:val="false"/>
                <w:smallCaps w:val="false"/>
              </w:rPr>
              <w:t xml:space="preserve"> </w:t>
            </w:r>
            <w:r>
              <w:rPr>
                <w:rFonts w:ascii="Times New Roman;Times;serif" w:hAnsi="Times New Roman;Times;serif"/>
                <w:b w:val="false"/>
                <w:i w:val="false"/>
                <w:caps w:val="false"/>
                <w:smallCaps w:val="false"/>
                <w:sz w:val="20"/>
              </w:rPr>
              <w:t>million of Royalty Notes in one purchase at MeiraGTx, LLC’s option upon the occurrence of positive data readouts from the Phase 2 AQUAx2 study for AAV-hAQP1 for the treatment of radiation-induced xerostomia (the “Third Purchase”);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additional Purchase of an aggregate of $50.0</w:t>
            </w:r>
            <w:r>
              <w:rPr>
                <w:caps w:val="false"/>
                <w:smallCaps w:val="false"/>
              </w:rPr>
              <w:t xml:space="preserve"> </w:t>
            </w:r>
            <w:r>
              <w:rPr>
                <w:rFonts w:ascii="Times New Roman;Times;serif" w:hAnsi="Times New Roman;Times;serif"/>
                <w:b w:val="false"/>
                <w:i w:val="false"/>
                <w:caps w:val="false"/>
                <w:smallCaps w:val="false"/>
                <w:sz w:val="20"/>
              </w:rPr>
              <w:t>million of Royalty Notes in one purchase at MeiraGTx, LLC’s option upon receipt of marketing approval from either the U.S. Food and Drug Administration (“FDA”) or the European Medicines Agency for bota-vec for the treatment of RPGR gene-associated X-linked retinitis pigmentosa;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additional Purchase of an aggregate of $50.0</w:t>
            </w:r>
            <w:r>
              <w:rPr>
                <w:caps w:val="false"/>
                <w:smallCaps w:val="false"/>
              </w:rPr>
              <w:t xml:space="preserve"> </w:t>
            </w:r>
            <w:r>
              <w:rPr>
                <w:rFonts w:ascii="Times New Roman;Times;serif" w:hAnsi="Times New Roman;Times;serif"/>
                <w:b w:val="false"/>
                <w:i w:val="false"/>
                <w:caps w:val="false"/>
                <w:smallCaps w:val="false"/>
                <w:sz w:val="20"/>
              </w:rPr>
              <w:t>million of Royalty Notes in one purchase at MeiraGTx, LLC’s option upon receipt of marketing approval from the FDA for AAV-hAQP1 for the treatment of radiation-induced xerostomia;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additional Purchase of an aggregate of up to $100.0</w:t>
            </w:r>
            <w:r>
              <w:rPr>
                <w:caps w:val="false"/>
                <w:smallCaps w:val="false"/>
              </w:rPr>
              <w:t xml:space="preserve"> </w:t>
            </w:r>
            <w:r>
              <w:rPr>
                <w:rFonts w:ascii="Times New Roman;Times;serif" w:hAnsi="Times New Roman;Times;serif"/>
                <w:b w:val="false"/>
                <w:i w:val="false"/>
                <w:caps w:val="false"/>
                <w:smallCaps w:val="false"/>
                <w:sz w:val="20"/>
              </w:rPr>
              <w:t>million of Royalty Notes prior to December 31, 2028, at the Company’s option and subject to the approval of each Purchaser agreeing to participate therein, in its sole discretion.</w:t>
            </w:r>
          </w:p>
        </w:tc>
      </w:tr>
    </w:tbl>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The Purchasers will be entitled to receive capped payments (the “Revenue Payments”) equal to 1.95% of the global net sales (“Net Sales”) of the Company’s gene therapy product candidates AAV-AIPL1, AAV-hAQP1 and bota-vec (the “Included Products”), which may increase pro rata upon the making of any Purchase subsequent to the aggregate purchases of $125 million in Royalty Notes, and may decrease pro rata upon any voluntary partial repurchase at any time of the Royalty Notes, in each case subject to the applicable cap. If the aggregate amount of Revenue Payments, any milestone payment the Company makes under the Royalty Note Purchase Agreement and voluntary repurchase amounts made by the Company to the Purchasers pursuant to the Royalty Note Purchase Agreement as of December 31, 2031 (the “Test Date”) equals or exceeds the amount of the aggregate purchase price for the Royalty Notes paid by the Purchasers (the “Total Funded Amount”) to the Company pursuant to the Royalty Note Purchase Agreement (the “Test Date Condition”), the then-applicable percentage of Net Sales payable as Revenue Payments will automatically decrease by a percentage specified in the Royalty Note Purchase Agreement for all subsequent years, subject to the applicable cap. If the Test Date Condition is not satisfied by the Test Date of December 31, 2031, the then-applicable percentage of Net Sales payable as Revenue Payments may increase for all subsequent years, subject to the applicable cap, to a rate that would have provided the Purchasers with 100% of the Total Funded Amount as of the Test Date had such rate applied from the date of the First Purchase through and including the Test Date. The capped Revenue Payments will become payable to the Purchasers on a quarterly basis after marketing approval is received for each Included Product.</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The Purchasers have an option to terminate the Royalty Note Purchase Agreement and to require the Company to repurchase the Royalty Notes in full for an amount equal to the Total Funded amount plus an agreed capped multiple upon certain enumerated events of default.</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Non-refundable milestone payments, all subject to the applicable cap, are due after the first marketing approval by the FDA, EMA or UK Medicines and Healthcare Products Agency of any product, and increase by an additional amount if the Third Purchase is funded. The repayment amount is due on the maturity date of June 30, 2036 or earlier acceleration for an event of default or change of control. Interest shall accrue on all past due payments immediately upon the occurrence and during the continuance of an event of default.</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The Company’s obligations under the Royalty Note Purchase Agreement are guaranteed by the Company and certain of its subsidiaries and is secured by the Company’s and certain of its subsidiaries’ cash, equity interests, receivables, property, plant and equipment and specific assets related to the Included Products. </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The Royalty Note Purchase Agreement contains features that affect the amount and timing of future cash flows. The Company elected the fair value option for the entire instrument upon initial recognition. Accordingly, the liability is measured at fair value on a recurring basis, with changes in fair value recognized on the condensed consolidated statements of operations and comprehensive income (loss). The fair value of the liability is determined using valuation techniques that incorporate significant unobservable inputs and is classified as a Level 3 fair value measurement.</w:t>
      </w:r>
    </w:p>
    <w:p>
      <w:pPr>
        <w:pStyle w:val="TextBody"/>
        <w:bidi w:val="0"/>
        <w:spacing w:before="0" w:after="0"/>
        <w:ind w:left="450" w:right="0" w:hanging="0"/>
        <w:jc w:val="both"/>
        <w:rPr/>
      </w:pPr>
      <w:r>
        <w:rPr/>
        <w:t>​</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On June 30, 2026, the Company also entered into a Securities Purchase Agreement (“Securities Purchase Agreement”) with the same Purchasers that purchased the Royalty Notes. Under the Securities Purchase Agreement, the Purchasers purchased an aggregate of 950,750 shares on July 17, 2026 at a price per ordinary share of $10.52, which was the volume-weighted average price per share for the 30 trading days prior to signing of the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 xml:space="preserve">Purchase Agreement, for aggregate proceeds of $10.0 million. The Company also granted the Purchasers (i) the right (“Right”) to purchase a number of ordinary shares (“Right Shares”) at a price per share as set forth in the Securities Purchase Agreement and (ii) an opportunity to participate in future financings at the same price and on the same terms as those offered to other participants in the offering (“Offering Participation”). The total Right and Offering Participation amount by all Purchasers may not exceed an aggregate of $15.0 million (Note 5).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 Commitments and Contingencies</w:t>
      </w:r>
    </w:p>
    <w:p>
      <w:pPr>
        <w:pStyle w:val="TextBody"/>
        <w:bidi w:val="0"/>
        <w:spacing w:before="0" w:after="0"/>
        <w:ind w:left="446" w:right="0" w:hanging="0"/>
        <w:jc w:val="both"/>
        <w:rPr>
          <w:rFonts w:ascii="Times New Roman;Times;serif" w:hAnsi="Times New Roman;Times;serif"/>
          <w:b/>
          <w:sz w:val="20"/>
        </w:rPr>
      </w:pPr>
      <w:r>
        <w:rPr>
          <w:rFonts w:ascii="Times New Roman;Times;serif" w:hAnsi="Times New Roman;Times;serif"/>
          <w:b w:val="false"/>
          <w:sz w:val="20"/>
        </w:rPr>
        <w:t>The Company has filed claims for research and development tax credits in Ireland for the 2023 and 2024 fiscal years. The total potential benefit associated with the filed claims is approximately $7.3</w:t>
      </w:r>
      <w:r>
        <w:rPr>
          <w:rFonts w:ascii="Times New Roman;Times;serif" w:hAnsi="Times New Roman;Times;serif"/>
          <w:b/>
          <w:sz w:val="20"/>
        </w:rPr>
        <w:t xml:space="preserve"> </w:t>
      </w:r>
      <w:r>
        <w:rPr>
          <w:rFonts w:ascii="Times New Roman;Times;serif" w:hAnsi="Times New Roman;Times;serif"/>
          <w:b w:val="false"/>
          <w:sz w:val="20"/>
        </w:rPr>
        <w:t>million. These claims are currently under review by the Irish tax authorities. As this represents the Company’s first time claiming such credits in Ireland, and the ultimate approval, timing, and amount of any refund remains uncertain, the Company has not recognized a receivable or related income as of June 30, 2026. Any amounts ultimately approved and received will be recognized in the period in which realization becomes probable and reasonably estimable.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82" w:name="Item2ManagementsDiscussionandAnalysisofF"/>
      <w:bookmarkStart w:id="1583" w:name="_66e1fb94_90b9_4ad1_82af_bba5cc6b440c"/>
      <w:bookmarkEnd w:id="1582"/>
      <w:bookmarkEnd w:id="158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financial condition and operating results together with our financial statements and related notes appearing in this Quarterly Report on Form 10-Q (“Form 10-Q”) and those included in our Annual Report on Form 10-K for the year ended December 31, 2025 (the “Form 10-K”). Some of the information contained in this discussion and analysis or set forth elsewhere in this Form 10-Q, including information with respect to our plans and strategy for our business and related financing, includes forward-looking statements that involve risks and uncertainties. As a result of many important factors, including those set forth in the “Risk Factors” section of this Form 10-Q, our actual results could differ materially from the results described in, or implied by, the forward-looking statements contained in the following discussion and analysis. For convenience of presentation some of the numbers have been rounded in the text below. Unless the context requires otherwise, references in this Management’s Discussion and Analysis of Financial Condition and Results of Operations to the “Company,” “we,” “us” and “our” refer to MeiraGTx Holdings plc and its subsidiaries.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vertically integrated, clinical-stage genetic medicines company with a broad pipeline of four late-stage clinical programs. Each of these programs uses local delivery of small doses, resulting in disease-modifying effects in both inherited and more common diseases, in the eye, radiation-induced xerostomia and Parkinson’s disease. We use our innovative technology in optimization of capsids, promoters, and novel translational control elements to develop best-in-class, potent, safe viral vectors. Our broad pipeline is supported by end-to-end in-house manufacturing. We have built the most comprehensive manufacturing capabilities in the industry, including two that are licensed for good manufacturing practices (“GMP”) viral vector production and a GMP Quality Control facility with clinical and commercial licensure. In addition, we have developed a proprietary manufacturing platform process over 9 years based on more than 20 different viral vectors with leading yield and quality aspects and commercial readiness. Uniquely, we have developed a novel technology for </w:t>
      </w:r>
      <w:r>
        <w:rPr>
          <w:rFonts w:ascii="Times New Roman;Times;serif" w:hAnsi="Times New Roman;Times;serif"/>
          <w:i/>
          <w:sz w:val="20"/>
        </w:rPr>
        <w:t>in vivo</w:t>
      </w:r>
      <w:r>
        <w:rPr>
          <w:rFonts w:ascii="Times New Roman;Times;serif" w:hAnsi="Times New Roman;Times;serif"/>
          <w:sz w:val="20"/>
        </w:rPr>
        <w:t xml:space="preserve"> delivery of any biologic therapeutic using oral small molecules. This transformative riboswitch gene regulation technology allows precise, dose-responsive control of gene expression by oral small molecules. We are focusing the riboswitch platform on the regulated </w:t>
      </w:r>
      <w:r>
        <w:rPr>
          <w:rFonts w:ascii="Times New Roman;Times;serif" w:hAnsi="Times New Roman;Times;serif"/>
          <w:i/>
          <w:sz w:val="20"/>
        </w:rPr>
        <w:t>in vivo</w:t>
      </w:r>
      <w:r>
        <w:rPr>
          <w:rFonts w:ascii="Times New Roman;Times;serif" w:hAnsi="Times New Roman;Times;serif"/>
          <w:sz w:val="20"/>
        </w:rPr>
        <w:t xml:space="preserve"> delivery of metabolic peptides, including leptin, GLP-1, GIP, glucagon, amylin and PYY, as well as cell therapy, CAR-T for liquid and solid tumors and autoimmune diseases, and additionally, PNS targets addressing long-term intractable pain. We have developed the technology to apply genetic medicine to common diseases, increasing efficacy, addressing novel targets, and expanding access in some of the largest disease areas where the unmet need remains high.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discussion of our financial condition and results of operations is based upon our financial statements, which have been prepared in accordance with generally accepted accounting principles in the United States (“GAAP”). Since our formation, we have devoted substantially all of our resources to developing our technology platform, establishing our viral vector manufacturing facilities and our GMP plasmid and DNA production facility and developing manufacturing processes, advancing the product candidates in our ophthalmology, salivary gland and neurodegenerative disease programs, building our intellectual property portfolio, organizing and staffing our company, developing our business plan, raising capital, and providing general and administrative support for these operations. To date, we have financed our operations primarily with cash on hand and proceeds from the sales of our equity securities, debt financings, strategic collaborations and asset sales, including (i) upfront and milestone payments in connection with the Collaboration, Option and License Agreement with Janssen Pharmaceuticals, Inc. (“Janssen”), dated as of January 30, 2019, for the research, development and commercialization of gene therapies for the treatment of inherited retinal disease, which also provided us with research funding, (ii) the Asset Purchase Agreement, dated as of December 20, 2023, we entered into with Janssen (the “Original Asset Purchase Agreement”) pursuant to which we sold to Janssen botaretigene sparoparvovec, or bota-vec, for the treatment of X-linked retinitis pigmentosa (“XLRP”) related to mutations in the retinitis pigmentosa GTPase regulator gene (the “RPGR Product”), and other related assets as described in the Original Asset Purchase Agreement, (iii) the Framework Agreements (as defined below), each dated as of March 9, 2025, we and certain of our affiliates entered into with Hologen Limited (“Hologen”) and certain of its affiliates as further described below, and (iv) the Strategic Collaboration and License Agreement, dated as of November 7, 2025 (the “Lilly Collaboration Agreement”), we entered into with Eli Lilly and Company (“Lilly”) for the research, development and commercialization of genetic medicines in and related to the area of ophthalmology. As of June 30, 2026, we had cash, cash equivalents and restricted cash of $145.4 million, as well as a total of $30.0 million billed and unbilled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receivables from Lilly and Reogen in connection with research and development and transition services and contract manufacturing processes.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clinical stage company and have not generated any product revenues to date. We have ongoing clinical development programs and a broad pipeline of preclinical programs. Since inception, we have incurred significant operating losses. Our net income for the three-month period ended June 30, 2026 and net loss for the three-month period ended June 30, 2025 were $160.7 million and $38.8 million, respectively. Our net income for the six-month period ended June 30, 2026 and net loss for the six-month period ended June 30, 2025 were $114.4 million and $78.8 million, respectively. As of June 30, 2026, we had an accumulated deficit of $701.8 million. We do not expect to generate revenue from sales of products unless and until we successfully initiate and complete clinical development and obtain regulatory approval for any product candidates, or satisfy our third party obligations.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total operating expenses for the three-month periods ended June 30, 2026 and 2025 were $77.0 million and $48.5 million, respectively. For the six-month periods ended June 30, 2026 and 2025, our total operating expenses were $118.1 million and $92.0 million, respectively. We expect to continue incurring costs associated with our clinical activities for AAV-hAQP1 for the treatment of radiation-induced xerostomia and bota-vec for the treatment of XLRP associated with mutations in the </w:t>
      </w:r>
      <w:r>
        <w:rPr>
          <w:rFonts w:ascii="Times New Roman;Times;serif" w:hAnsi="Times New Roman;Times;serif"/>
          <w:i/>
          <w:sz w:val="20"/>
        </w:rPr>
        <w:t>RPGR</w:t>
      </w:r>
      <w:r>
        <w:rPr>
          <w:rFonts w:ascii="Times New Roman;Times;serif" w:hAnsi="Times New Roman;Times;serif"/>
          <w:sz w:val="20"/>
        </w:rPr>
        <w:t xml:space="preserve"> gene, as well as for AAV-GAD for the treatment of Parkinson’s disease. Certain activities related to the AAV-GAD program are performed under our strategic collaboration with Hologen and are expected to generate service revenue that will fund the related development activities. We also expect to continue to incur costs relating to AAV-AIPL1 for the treatment of LCA4. Certain activities performed under the Lilly Collaboration Agreement and related agreements are expected to generate service revenue that will fund our development and manufacturing activities associated with the program. We also incurred expenses during the six-month period ended June 30, 2026 and expect to continue to incur expenses related to research activities in additional therapeutic areas to expand our pipeline, developing our potentially transformative gene regulation technology, hiring additional personnel as needed in manufacturing, research, clinical operations, quality and other functional areas, and associated cash and share-based compensation expense, as well as the further development of internal manufacturing capabilities and capacity and other associated costs including the management of our intellectual property portfolio.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will require additional capital in the future, which we may raise through equity offerings (including our “at-the-market” equity offering program), debt financings, marketing and distribution arrangements and other collaborations, strategic alliances and licensing arrangements or other sources to enable us to complete the development and potential commercialization of our product candidates. Furthermore, we expect to continue incurring costs associated with being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our cash, cash equivalents, accounts receivable, accounts receivable – related party, unbilled receivables – related party and tax incentive receivable at June 30, 2026, together with the second purchase of $25.0 million of Royalty Notes under the Royalty Note Purchase Agreement and $10.0 million proceeds from the sale of our ordinary shares under the Securities Purchase Agreement in the third quarter of 2026 (see Note 12 to our unaudited condensed consolidated financial statements included elsewhere in this Form 10-Q for a description of these transactions), and the additional $95.0 million upfront payment due from Hologen and associated reimbursements, we estimate that such funds will be sufficient to enable us to fund our operating expenses and capital expenditure requirements into the second half of 2028. This estimate does not include the $135.0 million in potential near-term cash consideration from Lilly upon achievement of certain development and regulatory approval milestones, or any subsequent tranches available under the Royalty Note Purchase Agreement. We have based these estimates on assumptions that may prove to be wrong, and we may use our available capital resources sooner than we currently expect. See “Liquidity and Capital Resources.” Because of the numerous risks and uncertainties associated with the development of our product candidates, any future product candidates, our platform and technology and because the extent to which we may enter into collaborations with third parties for development of any of our product candidates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unknown, we are unable to estimate the amounts of increased capital outlays and operating expenses associated with completing the research and development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Adequate additional funds may not be available to us on acceptable terms, or at all. To the extent that we raise additional capital through the sale of equity or convertible securities, your ownership interest will be diluted, and the terms of these securities may include liquidation or other preferences that adversely affect your rights as a shareholder. Any future debt financing or preferred equity or other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Because of the numerous risks and uncertainties associated with drug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and Related Agreements with Janssen Pharmaceuticals, Inc.</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April 15, 2026 (the “Janssen Closing Date”), we and MeiraGTx Ocular UK Limited (“MeiraGTx Ocular”) entered into and consummated an Asset Purchase Agreement (the “Asset Purchase Agreement”) with Janssen pursuant to which Janssen sold and assigned to us, and we purchased and assumed, that certain License Agreement, dated February 5, 2019, by and between UCLB Business Plc (now UCL Business Ltd.) and Janssen (the “UCLB License Agreement”), relating to the research, development, manufacture and exploitation of the RPGR Product and other related assets as described in the Asset Purchase Agreement.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made an upfront cash purchase price of $25.0 million to Janssen. Additionally, pursuant to and subject to the terms and conditions set forth in the Asset Purchase Agreement, we agreed to pay Janssen a one-time, future contingent consideration of $50.0 million upon both of the following milestones being achieved: (i) our or our affiliates’ receipt of regulatory approval for an RPGR Product in the United States and (ii) aggregate net sales by us or our affiliates of all RPGR Products in the United States since the Janssen Closing Date first exceeds $250.0 million. We have also agreed to pay Janssen royalties, based on future net sales globally of the RPGR Product by us or our affiliates, in the mid-teens percentage of annual net sales for the RPGR Product commencing on or after July 1, 2029. Additionally, in the event we or any of our affiliates may receive payments from a third party if we or any of our affiliates grant any license or right to develop or commercialize any RPGR Product to such third party, we will pay a portion of upfront and milestone payments to Janssen, as well as make royalty payments to Janssen for a given RPGR Product based on (A) royalty payments we or our affiliates may receive from such third party (after deduction of any royalty payments due under the UCLB License Agreement) and (B) net sales of a given RPGR Product by such third party.</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connection with the entering into the Asset Purchase Agreement, we and Janssen entered into a Termination Agreement on the Janssen Closing Date (the “Termination Agreement”) terminating the Original Asset Purchase Agreement pursuant to which we sold the RPGR Product to Janssen. The Termination Agreement also terminated that certain Supply Agreement, dated as of December 20, 2023 by and between MeiraGTx UK II and Janssen, and certain other documents related to the Original Asset Purchase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Johnson &amp; Johnson Innovation – JJDC, Inc. (“JJDC”), the investment arm of Johnson &amp; Johnson and owner of Janssen, owns more than 5% of our outstanding shares. JJDC and Janssen have agreed not to sell or transfer any of our ordinary shares or securities convertible into, exchangeable for, or exercisable for our ordinary shares, for twelve months after the Janssen Closing Date and following such twelve month period, if Janssen ever intends to sell our shares after the twelve month period, they will provide written notice to us at least five business days prior to taking any action.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Eli Lilly and Company Collaboration Agreement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7, 2025 (the “Lilly Effective Date”), our affiliates MeiraGTx Ocular, MeiraGTx Limited and MeiraGTx UK II Limited (“MeiraGTx UK II”), entered into the Lilly Collaboration Agreement with Lilly for the research, development and commercialization of genetic medicines in and related to the area of ophthalmology. Under the Lilly Collaboration Agreement, MeiraGTx has granted Lilly exclusive, worldwide rights to research, develop and commercialize our product candidate AAV-AIPL1, which treats Leber congenital amaurosis 4, or LCA4, caused by mutations in the AIPL1 gene, as well as two other preclinical product candidates which are intended to treat other inherited retinal dystrophies. Additionally, Lilly has (i) an exclusive license to proprietary intravitreal capsids for use with up to five targets, relating to or useful in the field of ophthalmology, to be selected by Lilly, (ii) an exclusive license to proprietary pan-retinal or rod-specific promoters for use with up to five targets, relating to or useful in the field of ophthalmology, to be selected by Lilly and (iii) a right of first designation with respect to certain target-specific transactions that MeiraGTx Ocular or its affiliates may seek to pursue in the field of ophthalmology. Lilly also has a right of first negotiation for use of our proprietary riboswitch technology in the field of ophthalmological gene editing.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terms of the Lilly Collaboration Agreement, we received an upfront payment of $75.0 million and will be eligible to receive up to over $400.0 million in total milestone payments, including up to $135.0 million in other potential near-term cash consideration upon the achievement of certain development and regulatory approval milestones. Lilly has the right to research, develop and commercialize products under the Lilly Collaboration Agreement, at its own cost. We may also perform research, development and manufacturing services for Lilly under the Lilly Collaboration Agreement and related agreements, for which we are entitled to reimbursement in accordance with the applicable contractual terms. The Lilly Collaboration Agreement also provides for tiered royalties to be paid to MeiraGTx Ocular on future product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Hologen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9, 2025, we and certain of our affiliates entered into a strategic collaboration with Hologen and certain of its affiliates to advance the development of certain central nervous system gene therapy programs and to support the Company’s manufacturing capabilities. Hologen is a leading developer of multi-modal generative AI foundation models of real-world clinical data for clinical medicine and pharmaceutical drug development. As part of the strategic collaboration, Hologen committed to provide an upfront cash payment of $200.0 million and up to an additional $230.0 million to finance the development of our AAV-GAD program in Parkinson’s disease to commercialization, as well as other locally-delivered therapies in the central nervous system. As part of the strategic collaboration, we also received an aggregate of 500,000 Class A shares of Hologen at a nominal price. As of June 30, 2026, Hologen has funded $105.0 million of the upfront payment commitment.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collaboration is governed by two framework agreements. The first, between the Company, MeiraGTx Neuro UK Limited (“MeiraGTx Neuro UK”), Reogen Limited (formerly Hologen Neuro AI Limited) (“Reogen”), and Hologen, relates to the management of the business and affairs of Reogen, including the research, development, manufacture and commercialization of our (i) AAV-GAD investigational gene therapy for the treatment of Parkinson’s disease, AAV-BDNF investigational gene therapy for the treatment of genetic obesity disorders and other potential locally delivered genetic medicines to the central nervous system (the “Clinical Programs”) and (ii) proprietary device designed to effect the local delivery of a gene therapy product into the central nervous system or any topographic or subcutaneous tissue modification on the face and scalp, of humans or animals (the “Delivery Device”), in each case, in accordance with the terms and conditions of the Hologen Collaboration Agreement as further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second, between MeiraGTx Manufacturing Limited (“MeiraGTx Manufacturing”), MeiraGTx Limited and Hologen, provides for the management of the business and affairs of MeiraGTx Manufacturing, including Hologen’s investment in MeiraGTx Manufacturing and its participation in funding the manufacturing business.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2026, the parties completed the initial closing of the strategic collaboration and entered into amendments to the framework agreements to facilitate the initial funding and investment structures. As part of the initial closing, the Company, MeiraGTx Neuro UK, MeiraGTx Neuro I, LLC (“MeiraGTx Neuro US”), Reogen, Hologen Neuro AI UK Limited (“Hologen Neuro UK”) and Hologen entered into the Collaboration and License Agreement, dated as of April 20, 2026 (the “Hologen Collaboration Agreement”) pursuant to which MeiraGTx Neuro US granted to Reogen and Hologen Neuro UK, subject to the license granted by Reogen and Hologen Neuro UK back to MeiraGTx Neuro UK, exclusive, worldwide, royalty-free, fully paid-up licenses to certain of our intellectual property rights for the research, development, manufacture and commercialization of the Clinical Programs and the Delivery Device. The parties also completed Hologen’s initial investment in MeiraGTx Manufacturing.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the initial closing, Hologen will fund an additional $95.0 million to satisfy the remaining portion of the upfront payments provided for under the framework agreements and the Hologen Collaboration Agreement. These funds will be used by Hologen to purchase (i) a portion of the Reogen shares held by MeiraGTx Neuro UK, such that following the purchase, MeiraGTx Neuro UK and Hologen are expected to hold 30% and 70% of the outstanding shares in Reogen, respectively, and (ii) additional shares in MeiraGTx Manufacturing from MeiraGTx Limited, such that following the purchase, Hologen will have increased its minority interest in MeiraGTx Manufacturing. The framework agreement relating to MeiraGTx Manufacturing also provides that, for twelve months after Hologen purchases all of its additional shares using a portion of the proceeds from the remaining amount of the upfront payment to be paid, Hologen will have an option to increase its ownership interest in MeiraGTx Manufacturing to up to 40%, subject to the terms and conditions of the framework agreement. If Hologen does not exercise the option during that twelve month period, then we have an option to purchase all of the shares of MeiraGTx Manufacturing held by Hologen for the same price that Hologen paid for such shares. We may exercise our option beginning on the third anniversary of the date Hologen purchases its additional shares in MeiraGTx Manufacturing and ending three years thereafter.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Recent Development Highlights and Anticipated Milestones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Botaretigene Sparoparvovec (bota-vec) for the Treatment of X-Linked Retinitis Pigmentosa (XLRP):</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completed the acquisition of full rights and interests in bota-vec from Janssen for a one-time $25 million upfront cash payment, with Janssen eligible to receive a one-time regulatory and commercial milestone tied to U.S. approval and U.S. sales performance, plus potential mid-teens royalty on global net sales beginning in mid-2029.</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XLRP is a rare inherited retinal disease with early onset and progressive degeneration to complete blindness by the third decade of life, with no currently approved treatment options. </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more than 20,000 XLRP-RPGR patients in the U.S. and EU alone.</w:t>
            </w:r>
          </w:p>
        </w:tc>
      </w:tr>
    </w:tbl>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Phase 3 LUMEOS study was a global, randomized study (n=95) in which all patients were treated bilaterally.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highlight the potential of bota-vec to improve vision, and the safety profile was as expected and manageable, with no new safety signals and an improved inflammatory profile relative to the Phase 1/2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commercial manufacturer of bota-vec, we have completed process performance qualification (PPQ) and hold a commercial license for our London, U.K. manufacturing facility and a commercial license for our QC facility in Shannon, Ireland.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Bota-vec has been granted Fast Track and Orphan Drug Designations from the U.S. Food and Drug Administration (FDA), and in the EU has received Priority Medicines, or PRIME, advanced therapy medicinal product, or ATMP, and Orphan Drug Designations from the local regulatory authorities.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AAV2-hAQP1 for the Treatment of Radiation-Induced Xerostomia: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FDA granted Breakthrough Therapy Designation to AAV2-hAQP1 for the treatment of grade 2 and grade 3 radiation-induced xerostomia, supported by three-year data from the 24-patient Phase 1 AQUAx study.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reported positive three-year data from our Phase 1 AQUAx clinical trial (n=24) evaluating AAV2-hAQP1 for the treatment of moderate to severe grade 2/3 radiation-induced xerostomia.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demonstrated sustained, clinically meaningful improvements in both patient-reported outcomes and objective measures of salivary flow, with durable effects maintained from 12 months through 36 months post-treatment.</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AAV2-hAQP1 continued to be safe and well-tolerated at each dose tested.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pivotal Phase 2 AQUAx2 study (NCT05926765), a randomized, double-blind, placebo-controlled study at 30 sites in the U.S., Canada, and the U.K. completed enrollment in the second quarter of 2026 and remains on track for a 12-month pivotal data readout in the second quarter of 2027, which, if positive, would support a BLA filing and potential approval targeted for the end of 2027, with U.S. launch in 2028.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Up to $400 Million Strategic Investment from Oberland Capital: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entered into an agreement with Oberland Capital Management LLC (Oberland Capital) for an investment of up to $400 million, including up to $375 million in non-dilutive capital in exchange for low single-digit capped royalties on certain products and up to $25 million in equity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regulatory approval, Oberland Capital is entitled to receive low single-digit capped royalties on the net sales of each of AAV2-hAQP1 (RIX), bota-vec (XLRP), and AAV-AIPL1 (LCA4). Royalty payments are capped at a multiple of the amounts funded.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$135 million funded comprised $125 million in cash and a $10 million equity investment. Additional capital is available at our option: $50 million tied to positive AAV2-hAQP1 data readouts in 2027 from the Phase 2 AQUAx2 study; $50 million tied to bota-vec regulatory approval in 2027; and $50 million tied to AAV2-hAQP1 regulatory approval in 2028. A further $100 million is available upon mutual agreement for new products or business development, and Oberland Capital has the right to purchase an additional $15 million in equity.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flexible provisions for a potential change of control, including our ability to buy back the entire funded royalty note at any time by paying certain specified amounts.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AAV-GAD for the Treatment of Parkinson’s Disease: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granted Regenerative Medicine Advanced Therapy (RMAT) designation to AAV-GAD for the treatment of Parkinson’s disease not adequately controlled with medication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RMAT was awarded based on data demonstrating statistically significant efficacy in 2 double-blind sham-surgery controlled studies, a Phase 2 study (n=45), and a Phase 1/2 clinical bridging study (n=14) following the successful Phase 1 dose escalation study (n=14).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application also included the use of novel AI developed by Hologen, which demonstrated potential disease modification resulting from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engaging with clinical trial sites globally and expect to initiate the Phase 3 study of AAV-GAD in the coming months.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AAV-AIPL1 for LCA4:</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strategic collaboration with Lilly, granting Lilly worldwide exclusive rights to meduretgene parvec, or medu-vec (formerly referred to as AAV-AIPL1) for the treatment of Leber congenial amaurosis 4 (LCA4).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Lilly also received worldwide exclusive access rights to our innovative gene therapy technologies for use in ophthalmology with certain targets designated by Lilly, including novel intravitreal capsids developed in-house and bespoke promoters including AI-generated cell specific promoters.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granted Lilly certain rights to our proprietary riboswitch technology for use in gene editing in the eye.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an upfront payment of $75 million and are eligible to receive over $400 million in total milestone payments. We are also eligible to receive tiered royalties on licensed products.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Riboswitch Gene Regulation Technology Platform for </w:t>
      </w:r>
      <w:r>
        <w:rPr>
          <w:rFonts w:ascii="Times New Roman;Times;serif" w:hAnsi="Times New Roman;Times;serif"/>
          <w:b/>
          <w:i/>
          <w:sz w:val="20"/>
        </w:rPr>
        <w:t>in vivo</w:t>
      </w:r>
      <w:r>
        <w:rPr>
          <w:rFonts w:ascii="Times New Roman;Times;serif" w:hAnsi="Times New Roman;Times;serif"/>
          <w:sz w:val="20"/>
        </w:rPr>
        <w:t> </w:t>
      </w:r>
      <w:r>
        <w:rPr>
          <w:rFonts w:ascii="Times New Roman;Times;serif" w:hAnsi="Times New Roman;Times;serif"/>
          <w:b/>
          <w:sz w:val="20"/>
        </w:rPr>
        <w:t>Delivery: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Riboswitch technology is a broadly applicable platform that provides a precise dose of any biologic therapeutic encoded by a transgene in response to a daily oral pill.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demonstrated that the platform is gene agnostic and can be incorporated into any sequence delivered by lentivirus, AAV, CRISPR or LNPs providing a powerful mechanism for precisely controlling the level and timing of the production of biologic therapeutics in the body.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This enables the native form of the therapeutic protein to be delivered by controlled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production driven by a safe daily pill.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provides more physiological activity of the therapeutic compared to synthetic or stabilized injectable forms of the molecule, often providing improved efficacy and safety.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advancing our first riboswitch program, native human leptin (Ribo-Leptin), toward the clinic in metabolic disease, and are in discussion with the FDA and are finalizing the package to open the Ribo-Leptin IND.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conducting IND-enabling studies for a second riboswitch-regulated program for neuropathic pain.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and Leadership Updates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appointed Penny Fleck as Chief Development Officer. Ms. Fleck brings more than 20 years of experience from Janssen and Takeda, leading development across numerous assets, including multiple global regulatory approvals. While Global Head of Specialty Ophthalmology at Janssen, she worked closely with us on the development of bota-vec.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appointed John Knighton as Executive Vice President of Global Manufacturing and Supply Chain. Mr. Knighton brings more than 30 years of experience from Janssen and GlaxoSmithKline. Most recently, John served as Vice President, Cell &amp; Gene Therapy API Development at Janssen leading a diverse team of managers, scientists, and engineers who manufactured for the approval and successful commercialization of CARVYKTI® (a personalized CAR T-cell immunotherapy used to treat adult patients with relapsed or refractory multiple myeloma).</w:t>
            </w:r>
          </w:p>
        </w:tc>
      </w:tr>
    </w:tbl>
    <w:p>
      <w:pPr>
        <w:pStyle w:val="TextBody"/>
        <w:bidi w:val="0"/>
        <w:spacing w:before="0" w:after="0"/>
        <w:ind w:left="72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Service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service revenue consists of revenue recognized for services performed under collaboration arrangements with third parties. During the current period, service revenue primarily relates to contract manufacturing services provided to Lilly under the collaboration agreement and related agreements.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Service Revenue – Related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service revenue – related party consists of revenue recognized for services performed under collaboration arrangements with related parties. During the current period, service revenue – related party primarily relates to research and development services provided to Reogen and the recognition of the remaining deferred revenue associated with the Original Asset Purchase Agreement and related agreements with Janssen, as the remaining performance obligations were extinguished upon termination of the agreements. In the prior period, service revenue – related party primarily related to the PPQ services performed in connection with the Original Asset Purchase Agreement and related agreements.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License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license revenue – related party consisted of the revenue recognized from the grant of intellectual property licenses under our collaboration arrangements. During the current period, license revenue – related party primarily relates to the licenses granted to Reogen for the Clinical Programs and the Delivery Device.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expenses include the following:</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Cost of Service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services revenue consists of costs incurred in providing services under collaboration arrangements with third parties. During the current period, cost of service revenue primarily relates to contract manufacturing services performed for Lilly under the collaboration agreement and related agreements.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Cost of Service Revenue – Related Party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cost of service revenue – related party consists of costs incurred in providing services under collaboration agreements with related parties. During the current period, cost of service revenue –related party primarily relates to research and development services performed for Reogen. In the prior period cost of service revenue – related party primarily related to the PPQ services performed in connection with the Original Asset Purchase Agreement and related agreements.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salaries and other related costs, including share-based compensation, for personnel in our executive, finance, legal, business development and administrative functions. General and administrative expenses also include legal fees relating to intellectual property and corporate matters; professional fees for accounting, auditing, tax and consulting services; insurance costs; travel expenses; and office facility-related expenses, which include direct depreciation costs.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incurred, and expect to continue to incur, increased expenses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activities, including our discovery efforts, and the development of our product candidates, and include:</w:t>
      </w:r>
    </w:p>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travel of our research and development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third-party vendors that conduct clinical and preclinical studies and manufacture the drug product for the clinical trials and preclinical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clinical and preclinical activities including costs related to facilities, supplies, rent, insurance, certain legal fees, share-based compensation, and depreciation; and</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with the development and operation of our manufacturing facilities.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costs as incurred.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We expect to continue incurring increasing research and development costs associated with our clinical activities for AAV-hAQP1 for the treatment of radiation-induced xerostomia and bota-vec for the treatment of XLRP associated with mutations in the RPGR gene. We also expect to continue to incur expenses related to research activities in additional therapeutic areas to expand our pipeline and develop our potentially transformative gene regulation technology.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determine with certainty the duration and costs of future clinical trials of our product candidates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duration, costs and timing of clinical trials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development of our existing product candidates or any other product candidate we may develop will depend on a variety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expense and results of clinical trials of our existing product candidates, as well as of any future clinical trials of other product candidates and other research and development activities that we may conduct;</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clinical trial design and patient enrollment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probability of success for our product candidates, including the safety and efficacy, early clinical data, competition, manufacturing capability and commercial viability;</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marketing approvals; and</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mean a significant change in the costs and timing associated with the development of that product candidate. For example, if the U.S. Food and Drug Administration (the “FDA”) or another U.S. or foreign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Non-Operating Income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non-operating income (expense) includes the following:</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Foreign Currency (Loss) Gain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condensed consolidated financial statements are presented in U.S. dollars, which is our reporting currency. The financial position and results of operations of our subsidiaries are measured using the foreign subsidiaries’ local currency as the functional currency, either the pound sterling or the euro. These entities’ cash accounts holding U.S. dollars and intercompany payables and receivables are remeasured based upon the exchange rate at the date of remeasurement with the resulting gain or loss included in the condensed consolidated statements of operations and comprehensive income (loss).</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is comprised of interest earned on our interest-bearing bank accounts.</w:t>
      </w:r>
    </w:p>
    <w:p>
      <w:pPr>
        <w:pStyle w:val="TextBody"/>
        <w:bidi w:val="0"/>
        <w:spacing w:before="0" w:after="0"/>
        <w:ind w:left="0" w:right="0" w:firstLine="720"/>
        <w:jc w:val="left"/>
        <w:rPr/>
      </w:pPr>
      <w:r>
        <w:rPr/>
        <w:t>​</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0"/>
        <w:ind w:left="0" w:right="0" w:firstLine="720"/>
        <w:jc w:val="left"/>
        <w:rPr>
          <w:rFonts w:ascii="Liberation Serif" w:hAnsi="Liberation Serif"/>
          <w:sz w:val="20"/>
        </w:rPr>
      </w:pPr>
      <w:r>
        <w:rPr>
          <w:rFonts w:ascii="Times New Roman;Times;serif" w:hAnsi="Times New Roman;Times;serif"/>
          <w:sz w:val="20"/>
        </w:rPr>
        <w:t>Interest expense consists of interest expense and amortization of the debt discount in connection with the Notes Purchase Agreement described in Note 12 to our unaudited condensed consolidated financial statements</w:t>
      </w:r>
      <w:r>
        <w:rPr>
          <w:rFonts w:ascii="Liberation Serif" w:hAnsi="Liberation Serif"/>
          <w:sz w:val="20"/>
        </w:rPr>
        <w:t xml:space="preserve"> </w:t>
      </w:r>
      <w:r>
        <w:rPr>
          <w:rFonts w:ascii="Times New Roman;Times;serif" w:hAnsi="Times New Roman;Times;serif"/>
          <w:sz w:val="20"/>
        </w:rPr>
        <w:t>elsewhere in this Form 10-Q.</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Loss on Derivative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Loss on derivative liability reflects the initial fair value of the derivative liability arising from the contractual right granted under the Securities Purchase Agreement with Oberland Capital Management LLC (“Oberland Capital”). The loss is non-cash and was recognized upon execution of the agreement.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Loss on Equity Method Investee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on equity method investee represents our share of the operating results of Reogen, which is accounted for under the equity method of accounting. The amount reflects our proportionate share of Reogen's net loss for the reporting period.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represents current and deferred income taxes recognized on our earnings and losses for the period, including the impact of valuation allowances and discrete tax items.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Comprehensive Gain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comprehensive gain (loss) includes the following:</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Foreign Currency Translation Gain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and expenses of subsidiaries have been translated into U.S. dollars at average exchange rates prevailing during the period. Assets and liabilities have been translated at the rates of exchange on the condensed consolidated balance sheet date. The resulting translation gain and loss adjustments are recorded directly as a separate component of shareholders’ equity and as other comprehensive gain (loss) on the condensed consolidated statements of operations and comprehensive income (loss).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Attributable to Non-Controlling Interest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loss attributable to non-controlling interests represents the portion of losses attributable to equity interests in subsidiaries that are not wholly-owned by us. During the current period, non-controlling interests primarily related to Hologen’s minority ownership interest in MeiraGTx Manufacturing following the initial closing of the strategic collaboration.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and judgements that affect the reporting amounts of assets, liabilities, revenues and expenses and the disclosure of contingent assets and liabilities in our condensed consolidated financial statements. On an ongoing basis, we evaluate our estimates and judgements, including those related to measurement of progress towards satisfaction of performance obligations, share-based compensation and accrued expenses. We base our estimates on historical experience, known trends and events and various other factors that we believe to be reasonable under the circumstances, the results of which form the basis for making judgements about the carrying value of assets and liabilities that are not readily apparent from our sources. Actual results may differ from these estimates under different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critical accounting policies, significant judgements and estimates are included in the Company’s Form 10-K for the year ended December 31, 2025 and Note 2 to our unaudited condensed consolidated financial statements included elsewhere in this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2026 and 2025</w:t>
      </w:r>
    </w:p>
    <w:p>
      <w:pPr>
        <w:pStyle w:val="TextBody"/>
        <w:bidi w:val="0"/>
        <w:spacing w:before="0" w:after="0"/>
        <w:ind w:left="0" w:right="0" w:hanging="0"/>
        <w:jc w:val="left"/>
        <w:rPr/>
      </w:pPr>
      <w:r>
        <w:rPr/>
        <w:t>​</w:t>
      </w:r>
    </w:p>
    <w:tbl>
      <w:tblPr>
        <w:tblW w:w="7462" w:type="dxa"/>
        <w:jc w:val="left"/>
        <w:tblInd w:w="0" w:type="dxa"/>
        <w:tblLayout w:type="fixed"/>
        <w:tblCellMar>
          <w:top w:w="0" w:type="dxa"/>
          <w:left w:w="0" w:type="dxa"/>
          <w:bottom w:w="0" w:type="dxa"/>
          <w:right w:w="0" w:type="dxa"/>
        </w:tblCellMar>
      </w:tblPr>
      <w:tblGrid>
        <w:gridCol w:w="3301"/>
        <w:gridCol w:w="346"/>
        <w:gridCol w:w="211"/>
        <w:gridCol w:w="796"/>
        <w:gridCol w:w="346"/>
        <w:gridCol w:w="211"/>
        <w:gridCol w:w="796"/>
        <w:gridCol w:w="346"/>
        <w:gridCol w:w="211"/>
        <w:gridCol w:w="89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96135" cy="175260"/>
                      <wp:effectExtent l="0" t="0" r="0" b="0"/>
                      <wp:wrapNone/>
                      <wp:docPr id="317" name="Frame31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05460" cy="175260"/>
                      <wp:effectExtent l="0" t="0" r="0" b="0"/>
                      <wp:wrapNone/>
                      <wp:docPr id="320" name="Frame3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5460" cy="175260"/>
                      <wp:effectExtent l="0" t="0" r="0" b="0"/>
                      <wp:wrapNone/>
                      <wp:docPr id="323" name="Frame3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70230" cy="175260"/>
                      <wp:effectExtent l="0" t="0" r="0" b="0"/>
                      <wp:wrapNone/>
                      <wp:docPr id="326" name="Frame32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746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5" w:type="dxa"/>
            <w:gridSpan w:val="8"/>
            <w:tcBorders/>
            <w:vAlign w:val="center"/>
          </w:tcPr>
          <w:p>
            <w:pPr>
              <w:pStyle w:val="TableContents"/>
              <w:bidi w:val="0"/>
              <w:spacing w:before="0" w:after="0"/>
              <w:ind w:left="0" w:right="0" w:hanging="0"/>
              <w:jc w:val="center"/>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98" w:type="dxa"/>
            <w:tcBorders/>
            <w:shd w:fill="CCEEFF" w:val="clear"/>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 -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104,906</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101,215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revenue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204,643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317,743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289,218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method investee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199,464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Service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Service revenue was $11.9 million for the three months ended June 30, 2026, compared to nil for the three months ended June 30, 2025. The increase of $11.9 million was due to revenue recognized for the contract manufacturing services provided to Lilly under the Lilly Collaboration Agreement and related agreements.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Service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Service revenue – related party was $104.9 million for the three months ended June 30, 2026, compared to $3.7 million for the three months ended June 30, 2025. The increase of $101.2 million was due to the release of deferred revenue from the termination of the Original Asset Purchase Agreement and Supply Agreement with Janssen and the development and transition services provided to Reogen under the Hologen Collaboration Agreement and related agreements, which was partially offset by decreased activity of PPQ services under the Original Asset Purchase Agreement and related agreements as the work was substantially completed in the first half of 2025. </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License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License revenue – related party was $204.6 million for the three months ended June 30, 2026, compared to nil for the three months ended June 30, 2025. The increase of $204.6 million was due to revenue recognized for the licenses granted to Reogen for the Clinical Programs and the Delivery Device.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Cost of Service Revenue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 of service revenue was $1.4 million for the three months ended June 30, 2026 compared to nil for the three months ended June 30, 2025. The increase of $1.4 million was due to costs incurred during the three months ended June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30, 2026 in connection with contract manufacturing services provided to Lilly under the Lilly Collaboration Agreement and related agreements.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Cost of Service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service revenue – related party was $5.8 million for the three months ended June 30, 2026 compared to $2.7 million for the three months ended June 30, 2025. The increase of $3.1 million was due to costs incurred during the period related to the development and transition services provided to Reogen under the Hologen Collaboration Agreement and related agreements, partially offset by the decreased activity of PPQ services due to the termination of the Original Asset Purchase Agreement and related agreements during the second quarter of 2026.</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General and administrative expenses were $12.0 million for the three months ended June 30, 2026, compared to $12.3 million for the three months ended June 30, 2025. The decrease of $0.3 million was primarily due to $0.8 million decrease in legal fees and $0.7 million decrease in share-based compensation expense due to vesting in prior periods. These decreases were partially offset by $0.7 million increase in business development expenses and $0.5 million increase in personnel costs. </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Research and development expenses for the three months ended June 30, 2026 and 2025 were as follows (in thousands):</w:t>
      </w:r>
    </w:p>
    <w:tbl>
      <w:tblPr>
        <w:tblW w:w="8252" w:type="dxa"/>
        <w:jc w:val="left"/>
        <w:tblInd w:w="0" w:type="dxa"/>
        <w:tblLayout w:type="fixed"/>
        <w:tblCellMar>
          <w:top w:w="0" w:type="dxa"/>
          <w:left w:w="0" w:type="dxa"/>
          <w:bottom w:w="0" w:type="dxa"/>
          <w:right w:w="0" w:type="dxa"/>
        </w:tblCellMar>
      </w:tblPr>
      <w:tblGrid>
        <w:gridCol w:w="3511"/>
        <w:gridCol w:w="346"/>
        <w:gridCol w:w="303"/>
        <w:gridCol w:w="971"/>
        <w:gridCol w:w="497"/>
        <w:gridCol w:w="303"/>
        <w:gridCol w:w="971"/>
        <w:gridCol w:w="346"/>
        <w:gridCol w:w="211"/>
        <w:gridCol w:w="79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229485" cy="175260"/>
                      <wp:effectExtent l="0" t="0" r="0" b="0"/>
                      <wp:wrapNone/>
                      <wp:docPr id="327" name="Frame32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92405" cy="175260"/>
                      <wp:effectExtent l="0" t="0" r="0" b="0"/>
                      <wp:wrapNone/>
                      <wp:docPr id="329" name="Frame32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16585" cy="175260"/>
                      <wp:effectExtent l="0" t="0" r="0" b="0"/>
                      <wp:wrapNone/>
                      <wp:docPr id="330" name="Frame330"/>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15595" cy="175260"/>
                      <wp:effectExtent l="0" t="0" r="0" b="0"/>
                      <wp:wrapNone/>
                      <wp:docPr id="331" name="Frame33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92405" cy="175260"/>
                      <wp:effectExtent l="0" t="0" r="0" b="0"/>
                      <wp:wrapNone/>
                      <wp:docPr id="332" name="Frame33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16585" cy="175260"/>
                      <wp:effectExtent l="0" t="0" r="0" b="0"/>
                      <wp:wrapNone/>
                      <wp:docPr id="333" name="Frame333"/>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03555" cy="175260"/>
                      <wp:effectExtent l="0" t="0" r="0" b="0"/>
                      <wp:wrapNone/>
                      <wp:docPr id="336" name="Frame33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Three-Month Periods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97"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Programs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righ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Botaretigene sparoparvovec</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31,302</w:t>
            </w:r>
          </w:p>
        </w:tc>
        <w:tc>
          <w:tcPr>
            <w:tcW w:w="497"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AAV-hAQP1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7,356</w:t>
            </w:r>
          </w:p>
        </w:tc>
        <w:tc>
          <w:tcPr>
            <w:tcW w:w="497"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AAV-GAD</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w:t>
            </w:r>
          </w:p>
        </w:tc>
        <w:tc>
          <w:tcPr>
            <w:tcW w:w="497"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(5,871)</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ocular diseases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0"/>
              <w:ind w:left="0" w:right="0" w:hanging="0"/>
              <w:jc w:val="left"/>
              <w:rPr/>
            </w:pPr>
            <w:r>
              <w:rPr/>
              <w:t>  ​ ​ ​</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w:t>
            </w:r>
          </w:p>
        </w:tc>
        <w:tc>
          <w:tcPr>
            <w:tcW w:w="497" w:type="dxa"/>
            <w:tcBorders/>
            <w:vAlign w:val="center"/>
          </w:tcPr>
          <w:p>
            <w:pPr>
              <w:pStyle w:val="TableContents"/>
              <w:bidi w:val="0"/>
              <w:spacing w:before="0" w:after="0"/>
              <w:ind w:left="0" w:right="0" w:hanging="0"/>
              <w:jc w:val="left"/>
              <w:rPr/>
            </w:pPr>
            <w:r>
              <w:rPr/>
              <w:t>  ​ ​ ​</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12,280</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Preclinical Programs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 regulation</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497"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Neurodegenerative diseases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497"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Ocular diseases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497"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6,161</w:t>
            </w:r>
          </w:p>
        </w:tc>
        <w:tc>
          <w:tcPr>
            <w:tcW w:w="497"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57,832</w:t>
            </w:r>
          </w:p>
        </w:tc>
        <w:tc>
          <w:tcPr>
            <w:tcW w:w="497"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24,337</w:t>
            </w:r>
          </w:p>
        </w:tc>
      </w:tr>
    </w:tbl>
    <w:p>
      <w:pPr>
        <w:pStyle w:val="TextBody"/>
        <w:bidi w:val="0"/>
        <w:spacing w:before="0" w:after="0"/>
        <w:ind w:left="0" w:right="0" w:hanging="0"/>
        <w:jc w:val="left"/>
        <w:rPr/>
      </w:pPr>
      <w:r>
        <w:rPr/>
        <w: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Clinical program expenses represent the direct costs for each clinical trial plus the cost of the clinical trial material charged from the manufacturing costs.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Manufacturing expenses represent the costs to manufacture clinical trial material, including payroll, facilities, manufacturing supplies, raw materials, quality control and quality assurance. Upon completion of the manufacture of a batch of clinical trial material, the standard cost of manufacturing the batch of clinical trial material is charged to the clinical programs.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Preclinical program expenses represent the direct costs for each group of preclinical programs.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Other research and development expenses represent costs that are not allocated to a specific clinical or preclinical program, such as payroll and payroll related costs, share-based compensation, travel, rent and facilities costs, depreciation and other non-program specific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were $57.8 million for the three months ended June 30, 2026, compared to $33.5 million for the three months ended June 30, 2025. The increase of $24.3 million was primarily due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reacquisition of bota-vec under the Asset Purchase Agreement. Costs related to the AAV-hAQP1 clinical program increased due to the manufacturing of clinical trial batch material during the three months ended June 30, 2026 and higher clinical trial related spend. In addition, other research and development expenses increased due to employee and employee-related costs, facilities costs and other general research and development costs. These increases were partially offset by decreases in our AAV-GAD program due to a higher cost of clinical trial material batches being manufactured during the three months ended June 30, 2025. Manufacturing costs decreased due to higher manufacturing batch costs being allocated to the clinical programs during the three months ended June 30, 2026 and costs associated with our preclinical programs decreased primarily related to our gene regulation program due to the completion of certain preclinical studies in 2025.</w:t>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Foreign Currency (Loss) Gain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Foreign currency loss was $1.5 million for the three months ended June 30, 2026 compared to a gain of $8.6 million for the three months ended June 30, 2025. The change of $10.1 million was primarily due to the weakening </w:t>
      </w:r>
      <w:r>
        <w:rPr>
          <w:rFonts w:ascii="Times New Roman;Times;serif" w:hAnsi="Times New Roman;Times;serif"/>
          <w:sz w:val="20"/>
          <w:shd w:fill="FFFFFF" w:val="clear"/>
        </w:rPr>
        <w:t>of the U.S. dollar against the pound sterling and euro as it relates to the valuation of our intercompany payables and receivables.</w:t>
      </w:r>
    </w:p>
    <w:p>
      <w:pPr>
        <w:pStyle w:val="TextBody"/>
        <w:bidi w:val="0"/>
        <w:spacing w:before="0" w:after="200"/>
        <w:ind w:left="0" w:right="0" w:firstLine="72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income was $0.7 million for the three months ended June 30, 2026 compared to $0.4 million for the three months ended June 30, 2025. The increase of $0.3 million was due to higher cash balances in interest bearing accounts during 2026 offset by lower interest rates.</w:t>
      </w:r>
    </w:p>
    <w:p>
      <w:pPr>
        <w:pStyle w:val="TextBody"/>
        <w:bidi w:val="0"/>
        <w:spacing w:before="0" w:after="200"/>
        <w:ind w:left="0" w:right="0" w:firstLine="720"/>
        <w:jc w:val="both"/>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expense was $3.5 million for the three months ended June 30, 2026 compared to $3.0 million for the three months ended June 30, 2025. The increase of $0.5 million was primarily due to the transaction cost related to the issuance of the Royalty Note, which is measured at fair value, and the write-off of unamortized deferred financing cost due to the termination of the Notes Purchase Agreement described in Note 12 to our unaudited condensed consolidated financial statements included elsewhere in this Form 10-Q, which is offset by a lower interest rate.</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Loss on Derivative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Liberation Serif" w:hAnsi="Liberation Serif"/>
          <w:sz w:val="20"/>
        </w:rPr>
      </w:pPr>
      <w:r>
        <w:rPr>
          <w:rFonts w:ascii="Times New Roman;Times;serif" w:hAnsi="Times New Roman;Times;serif"/>
          <w:sz w:val="20"/>
        </w:rPr>
        <w:t>Loss on derivative liability was $5.2 million for the three months ended June 30, 2026 compared to nil for the three months ended June 30, 2025. The increase of $5.2 million was due to the</w:t>
      </w:r>
      <w:r>
        <w:rPr>
          <w:rFonts w:ascii="Liberation Serif" w:hAnsi="Liberation Serif"/>
          <w:sz w:val="20"/>
        </w:rPr>
        <w:t xml:space="preserve"> </w:t>
      </w:r>
      <w:r>
        <w:rPr>
          <w:rFonts w:ascii="Times New Roman;Times;serif" w:hAnsi="Times New Roman;Times;serif"/>
          <w:sz w:val="20"/>
        </w:rPr>
        <w:t>initial measurement of the derivative liability associated with the right granted under the Securities Purchase Agreement with Oberland Capital.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Loss on Equity Method Investee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on equity method investee was $71.9 million for the three months ended June 30, 2026, compared to nil for the three months ended June 30, 2025. The loss primarily reflects the Company’s proportionate share of Reogen’s expenses associated with the acquired in-process research and development assets relating to the Clinical Programs and the Delivery Device, as well as Reogen’s ongoing research and development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was $2.4 million for the three months ended June 30, 2026 compared to nil for the three months ended June 30, 2025. The increase of $2.4 million was primarily driven by taxable income generated from strategic collaboration and other non-recurring transactions, partially offset by valuation allowances and losses in jurisdictions where no tax benefit was recognized.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2026 and 2025</w:t>
      </w:r>
    </w:p>
    <w:p>
      <w:pPr>
        <w:pStyle w:val="TextBody"/>
        <w:bidi w:val="0"/>
        <w:spacing w:before="0" w:after="0"/>
        <w:ind w:left="0" w:right="0" w:hanging="0"/>
        <w:jc w:val="left"/>
        <w:rPr/>
      </w:pPr>
      <w:r>
        <w:rPr/>
        <w:t>​</w:t>
      </w:r>
    </w:p>
    <w:tbl>
      <w:tblPr>
        <w:tblW w:w="7462" w:type="dxa"/>
        <w:jc w:val="left"/>
        <w:tblInd w:w="0" w:type="dxa"/>
        <w:tblLayout w:type="fixed"/>
        <w:tblCellMar>
          <w:top w:w="0" w:type="dxa"/>
          <w:left w:w="0" w:type="dxa"/>
          <w:bottom w:w="0" w:type="dxa"/>
          <w:right w:w="0" w:type="dxa"/>
        </w:tblCellMar>
      </w:tblPr>
      <w:tblGrid>
        <w:gridCol w:w="3301"/>
        <w:gridCol w:w="346"/>
        <w:gridCol w:w="211"/>
        <w:gridCol w:w="796"/>
        <w:gridCol w:w="346"/>
        <w:gridCol w:w="211"/>
        <w:gridCol w:w="796"/>
        <w:gridCol w:w="346"/>
        <w:gridCol w:w="211"/>
        <w:gridCol w:w="89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96135" cy="175260"/>
                      <wp:effectExtent l="0" t="0" r="0" b="0"/>
                      <wp:wrapNone/>
                      <wp:docPr id="337" name="Frame33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05460" cy="175260"/>
                      <wp:effectExtent l="0" t="0" r="0" b="0"/>
                      <wp:wrapNone/>
                      <wp:docPr id="340" name="Frame3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05460" cy="175260"/>
                      <wp:effectExtent l="0" t="0" r="0" b="0"/>
                      <wp:wrapNone/>
                      <wp:docPr id="343" name="Frame3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70230" cy="175260"/>
                      <wp:effectExtent l="0" t="0" r="0" b="0"/>
                      <wp:wrapNone/>
                      <wp:docPr id="346" name="Frame34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746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15" w:type="dxa"/>
            <w:gridSpan w:val="8"/>
            <w:tcBorders/>
            <w:vAlign w:val="center"/>
          </w:tcPr>
          <w:p>
            <w:pPr>
              <w:pStyle w:val="TableContents"/>
              <w:bidi w:val="0"/>
              <w:spacing w:before="0" w:after="0"/>
              <w:ind w:left="0" w:right="0" w:hanging="0"/>
              <w:jc w:val="center"/>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98" w:type="dxa"/>
            <w:tcBorders/>
            <w:shd w:fill="CCEEFF" w:val="clear"/>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 -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105,199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revenue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204,643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316,110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revenue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289,997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method investee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193,132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Service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Service revenue was $11.9 million for the six months ended June 30, 2026, compared to nil for the six months ended June 30, 2025. The increase of $11.9 million was due to revenue recognized for the contract manufacturing services provided to Lilly under the Lilly Collaboration Agreement and related agreements. </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Service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Service revenue – related party was $105.2 million for the six months ended June 30, 2026, compared to $5.6 million for the six months ended June 30, 2025. The increase of $99.6 million was due to the recognition of related party deferred revenue following the termination of the Original Asset Purchase Agreement and Supply Agreement with Janssen and the development and transition services provided to Reogen under the Hologen Collaboration Agreement and related agreements which is partially offset by the decreased activity of PPQ services under the Original Asset Purchase Agreement and related agreements as the agreement was terminated in the current quarter and the work was substantially completed in the first half of 2025.</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License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License revenue – related party was $204.6 million for the six months ended June 30, 2026, compared to nil for the six months ended June 30, 2025. The increase of $204.6 million was due to revenue recognized for the licenses granted to Reogen for the Clinical Programs and the Delivery Device.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 xml:space="preserve">Cost of Service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service revenue was $1.4 million for the six months ended June 30, 2026 compared to nil for the six months ended June 30, 2025. The increase of $1.4 million was due to costs related to contract manufacturing services provided to Lilly under the Lilly Collaboration Agreement and related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Cost of Service Revenue – Related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service revenue – related party was $6.0 million for the six months ended June 30, 2026 compared to $4.1 million for the six months ended June 30, 2025. The increase of $1.9 million was due to the development and transition services provided to Reogen under the Hologen Collaboration Agreement and related agreements, partially offset by the decreased activity of PPQ services under the Original Asset Purchase Agreement and related agreements as the agreement was terminated during the second quarter of 2026 and the work was substantially completed in the first half of 2025. </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were $20.9 million for the six months ended June 30, 2026, compared to $21.7 million for the six months ended June 30, 2025. The decrease of $0.7 million was primarily due to lower personnel related costs, including a decrease of $1.1 million in payroll expense primarily due to lower bonus accruals, as well as a $0.9 million decrease in share-based compensation expense due to vesting in prior periods, a decrease of $0.3 million in legal fees and a decrease of $0.4 million in facilities costs, offset by a $0.7 million increase in business development expenses. In addition, the prior year included a $1.3 million release of asset retirement obligation provisions related to U.S. office and laboratory leases, which did not recur in the current period.</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Research and development expenses for the six months ended June 30, 2026 and 2025 were as follows (in thousands):</w:t>
      </w:r>
    </w:p>
    <w:tbl>
      <w:tblPr>
        <w:tblW w:w="7994" w:type="dxa"/>
        <w:jc w:val="left"/>
        <w:tblInd w:w="0" w:type="dxa"/>
        <w:tblLayout w:type="fixed"/>
        <w:tblCellMar>
          <w:top w:w="0" w:type="dxa"/>
          <w:left w:w="0" w:type="dxa"/>
          <w:bottom w:w="0" w:type="dxa"/>
          <w:right w:w="0" w:type="dxa"/>
        </w:tblCellMar>
      </w:tblPr>
      <w:tblGrid>
        <w:gridCol w:w="3511"/>
        <w:gridCol w:w="346"/>
        <w:gridCol w:w="277"/>
        <w:gridCol w:w="889"/>
        <w:gridCol w:w="455"/>
        <w:gridCol w:w="277"/>
        <w:gridCol w:w="889"/>
        <w:gridCol w:w="346"/>
        <w:gridCol w:w="211"/>
        <w:gridCol w:w="79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229485" cy="175260"/>
                      <wp:effectExtent l="0" t="0" r="0" b="0"/>
                      <wp:wrapNone/>
                      <wp:docPr id="347" name="Frame34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5895" cy="175260"/>
                      <wp:effectExtent l="0" t="0" r="0" b="0"/>
                      <wp:wrapNone/>
                      <wp:docPr id="349" name="Frame34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64515" cy="175260"/>
                      <wp:effectExtent l="0" t="0" r="0" b="0"/>
                      <wp:wrapNone/>
                      <wp:docPr id="350" name="Frame350"/>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88925" cy="175260"/>
                      <wp:effectExtent l="0" t="0" r="0" b="0"/>
                      <wp:wrapNone/>
                      <wp:docPr id="351" name="Frame351"/>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75895" cy="175260"/>
                      <wp:effectExtent l="0" t="0" r="0" b="0"/>
                      <wp:wrapNone/>
                      <wp:docPr id="352" name="Frame35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64515" cy="175260"/>
                      <wp:effectExtent l="0" t="0" r="0" b="0"/>
                      <wp:wrapNone/>
                      <wp:docPr id="353" name="Frame35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3555" cy="175260"/>
                      <wp:effectExtent l="0" t="0" r="0" b="0"/>
                      <wp:wrapNone/>
                      <wp:docPr id="356" name="Frame35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Six-Month Periods Ended June 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55" w:type="dxa"/>
            <w:tcBorders/>
            <w:vAlign w:val="center"/>
          </w:tcPr>
          <w:p>
            <w:pPr>
              <w:pStyle w:val="TableContents"/>
              <w:bidi w:val="0"/>
              <w:spacing w:before="0" w:after="1"/>
              <w:ind w:left="0" w:right="0" w:hanging="0"/>
              <w:jc w:val="left"/>
              <w:rPr/>
            </w:pPr>
            <w:r>
              <w:rPr/>
              <w:t> </w:t>
            </w:r>
          </w:p>
        </w:tc>
        <w:tc>
          <w:tcPr>
            <w:tcW w:w="11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Programs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889" w:type="dxa"/>
            <w:tcBorders/>
            <w:shd w:fill="CCEEFF" w:val="clear"/>
            <w:vAlign w:val="center"/>
          </w:tcPr>
          <w:p>
            <w:pPr>
              <w:pStyle w:val="TableContents"/>
              <w:bidi w:val="0"/>
              <w:spacing w:before="0" w:after="1"/>
              <w:ind w:left="0" w:right="0" w:hanging="0"/>
              <w:jc w:val="righ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8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Botaretigene sparoparvovec</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31,331</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31,331</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AAV-hAQP1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9,720</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AAV-GAD</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4,018</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(6,412)</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ocular diseases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1"/>
              <w:ind w:left="0" w:right="0" w:hanging="0"/>
              <w:jc w:val="left"/>
              <w:rPr/>
            </w:pPr>
            <w:r>
              <w:rPr/>
              <w:t>  ​ ​ ​</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27,271</w:t>
            </w:r>
          </w:p>
        </w:tc>
        <w:tc>
          <w:tcPr>
            <w:tcW w:w="455" w:type="dxa"/>
            <w:tcBorders/>
            <w:vAlign w:val="center"/>
          </w:tcPr>
          <w:p>
            <w:pPr>
              <w:pStyle w:val="TableContents"/>
              <w:bidi w:val="0"/>
              <w:spacing w:before="0" w:after="1"/>
              <w:ind w:left="0" w:right="0" w:hanging="0"/>
              <w:jc w:val="left"/>
              <w:rPr/>
            </w:pPr>
            <w:r>
              <w:rPr/>
              <w:t>  ​ ​ ​</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29,640</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Preclinical Programs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 regulation</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3,082</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(2,445)</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Neurodegenerative diseases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Ocular diseases</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12,468</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89,816</w:t>
            </w:r>
          </w:p>
        </w:tc>
        <w:tc>
          <w:tcPr>
            <w:tcW w:w="455"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23,541</w:t>
            </w:r>
          </w:p>
        </w:tc>
      </w:tr>
    </w:tbl>
    <w:p>
      <w:pPr>
        <w:pStyle w:val="TextBody"/>
        <w:bidi w:val="0"/>
        <w:spacing w:before="0" w:after="240"/>
        <w:ind w:left="0" w:right="0" w:hanging="0"/>
        <w:jc w:val="left"/>
        <w:rPr>
          <w:shd w:fill="00FF00" w:val="clear"/>
        </w:rPr>
      </w:pPr>
      <w:r>
        <w:rPr>
          <w:shd w:fill="00FF00" w:val="clear"/>
        </w:rPr>
        <w: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Clinical program expenses represent the direct costs for each clinical trial plus the cost of the clinical trial material charged from the manufacturing costs.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Manufacturing expenses represent the costs to manufacture clinical trial material, including payroll, facilities, manufacturing supplies, raw materials, quality control and quality assurance. Upon completion of the manufacture of a batch of clinical trial material, the standard cost of manufacturing the batch of clinical trial material is charged to the clinical programs.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Preclinical program expenses represent the direct costs for each group of preclinical programs.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Other research and development expenses represent costs that are not allocated to a specific clinical or preclinical program, such as payroll and payroll related costs, share-based compensation, travel, rent and facilities costs, depreciation and other non-program specific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were $89.8 million for the six months ended June 30, 2026, compared to $66.3 million for the six months ended June 30, 2025. The increase of $23.5 million was primarily due to the reacquisition of bota-vec under the Asset Purchase Agreement. Costs related to the AAV-hAQP1 clinical program increased due to the manufacturing of clinical trial batch material during the three months ended June 30, 2026. In addition, other research and development expenses increased due to employee and employee-related costs, facilities costs and other general research and development costs. These increases were partially offset by decreases in our AAV-GAD program and other clinical ocular diseases due to higher costs of clinical trial material batches being manufactured during the six months ended June 30, 2025. Manufacturing costs decreased due to higher manufacturing batch costs being allocated to the clinical programs during the six months ended June 30, 2026 and costs associated with our preclinical programs decreased primarily related to our gene regulation program due to the completion of certain preclinical studies in 2025.</w:t>
      </w:r>
    </w:p>
    <w:p>
      <w:pPr>
        <w:pStyle w:val="TextBody"/>
        <w:bidi w:val="0"/>
        <w:spacing w:before="0" w:after="0"/>
        <w:ind w:left="0" w:right="0" w:firstLine="720"/>
        <w:jc w:val="left"/>
        <w:rPr/>
      </w:pPr>
      <w:r>
        <w:rPr/>
        <w:t>​</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Foreign Currency (Loss) Gain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Foreign currency loss was $4.3 million for the six months ended June 30, 2026 compared to a gain of $12.3 million for the six months ended June 30, 2025. The change of $16.6 million was primarily due to the weakening </w:t>
      </w:r>
      <w:r>
        <w:rPr>
          <w:rFonts w:ascii="Times New Roman;Times;serif" w:hAnsi="Times New Roman;Times;serif"/>
          <w:sz w:val="20"/>
          <w:shd w:fill="FFFFFF" w:val="clear"/>
        </w:rPr>
        <w:t>of the U.S. dollar against the pound sterling and euro as it relates to the valuation of our intercompany payables and receivables.</w:t>
      </w:r>
    </w:p>
    <w:p>
      <w:pPr>
        <w:pStyle w:val="TextBody"/>
        <w:bidi w:val="0"/>
        <w:spacing w:before="0" w:after="200"/>
        <w:ind w:left="0" w:right="0" w:firstLine="72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income was $0.9 million for the six months ended June 30, 2026 compared to $1.4 million for the six months ended June 30, 2025. The decrease of $0.5 million was due to lower interest rates and cash balances held in interest bearing accounts during the first half of 2026.</w:t>
      </w:r>
    </w:p>
    <w:p>
      <w:pPr>
        <w:pStyle w:val="TextBody"/>
        <w:bidi w:val="0"/>
        <w:spacing w:before="0" w:after="200"/>
        <w:ind w:left="0" w:right="0" w:firstLine="720"/>
        <w:jc w:val="both"/>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expense was $6.4 million for the six months ended June 30, 2026 compared to $6.1 million for the six months ended June 30, 2025. The increase of $0.3 million was primarily due to the transaction cost related to the issuance of the Royalty Note, which is measured at fair value, and the write-off of unamortized deferred financing cost due to the termination of the Notes Purchase Agreement during the second quarter of 2026 as further described in Note 12 to our unaudited condensed consolidated financial statements included elsewhere in this Form 10-Q, which is offset by a lower interest rate.</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Loss on Derivative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on derivative liability was $5.2 million for the six months ended June 30, 2026 compared to nil for the six months ended June 30, 2025. The increase of $5.2 million was due to initial measurement of the derivative liability associated with the right granted under the Securities Purchase Agreement with Oberland Capital.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Loss on Equity Method Investee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on equity method investee was $71.9 million for the six months ended June 30, 2026, compared to nil for the six months ended June 30, 2025. The loss primarily reflects the Company’s proportionate share of Reogen’s expense associated with the acquired in-process research and development assets relating to the Clinical Programs and the Delivery Device, as well as Reogen’s ongoing research and development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was $2.4 million for the six months ended June 30, 2026 compared to nil for the six months ended June 30, 2025. The increase of $2.4 million was primarily driven by taxable income generated from strategic collaboration and other non-recurring transactions, partially offset by valuation allowances and losses in jurisdictions where no tax benefit was recognized.</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we have incurred significant operating losses. For the six months ended June 30, 2026, we had $20.7 million used by cash flows from operations. There are no assurances that we will generate positive cash flows in the future. Additionally, there are no assurances that we will be successful in obtaining an adequate level of financing for the development and commercialization of our product candidates. We expect to incur significant expenses and operating losses for the foreseeable future as we advance the preclinical and clinical development of our product candidates. We expect that our research and development and general and administrative costs will increase in connection with conducting preclinical studies and clinical trials for our product candidates, building out internal capacity to have products manufactured to support preclinical studies and clinical trials as well as to manufacture commercial products, expanding our intellectual property portfolio, and providing general and administrative support for our operations. As a result of these incurred and expected expenses we will need additional capital to fund our operations, which we may obtain from additional equity or debt financings, collaborations, licensing arrangements, or other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have any approved products and have never generated any revenue from product sales. We have historically financed our operations primarily through cash on hand and proceeds from the sale of our equity securities, issuance of debt and upfront and milestone payments from our collaboration and business development activities and asset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our current cash, cash equivalents, accounts receivable, accounts receivable – related party, unbilled receivables – related party and tax incentive receivable at June 30, 2026, together with the second purchase of $25.0 million of Royalty Notes under the Royalty Note Purchase Agreement and $10.0 million proceeds from the sale of our ordinary shares under the Securities Purchase Agreement in the third quarter of 2026 (see Note 12 to our unaudited condensed consolidated financial statements included elsewhere in this Form 10-Q for a description of these transactions), and the additional $95.0 million upfront payment due from Hologen and associated reimbursements, we estimate that such funds will be sufficient to enable us to fund our operating expenses and capital expenditure requirements into the second half of 2028. This estimate does not include the $135.0 million in potential near-term cash consideration from Lilly upon achievement of certain development and regulatory approval milestones, or any subsequent tranches available under the Royalty Note Purchase Agreement. We have based these estimates on assumptions that may prove to be wrong, and we could utilize our available capital resources sooner than we expect.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we had $145.4 million of cash, cash equivalents and restricted cash.</w:t>
      </w:r>
    </w:p>
    <w:p>
      <w:pPr>
        <w:pStyle w:val="TextBody"/>
        <w:bidi w:val="0"/>
        <w:spacing w:before="0" w:after="24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sources and uses of cash, cash equivalents and restricted cash for the period presented:</w:t>
      </w:r>
    </w:p>
    <w:p>
      <w:pPr>
        <w:pStyle w:val="TextBody"/>
        <w:bidi w:val="0"/>
        <w:spacing w:before="0" w:after="240"/>
        <w:ind w:left="0" w:right="0" w:firstLine="720"/>
        <w:jc w:val="both"/>
        <w:rPr/>
      </w:pPr>
      <w:r>
        <w:rPr/>
        <w:t>​</w:t>
      </w:r>
    </w:p>
    <w:tbl>
      <w:tblPr>
        <w:tblW w:w="8655" w:type="dxa"/>
        <w:jc w:val="left"/>
        <w:tblInd w:w="0" w:type="dxa"/>
        <w:tblLayout w:type="fixed"/>
        <w:tblCellMar>
          <w:top w:w="0" w:type="dxa"/>
          <w:left w:w="0" w:type="dxa"/>
          <w:bottom w:w="0" w:type="dxa"/>
          <w:right w:w="0" w:type="dxa"/>
        </w:tblCellMar>
      </w:tblPr>
      <w:tblGrid>
        <w:gridCol w:w="5566"/>
        <w:gridCol w:w="346"/>
        <w:gridCol w:w="240"/>
        <w:gridCol w:w="908"/>
        <w:gridCol w:w="395"/>
        <w:gridCol w:w="240"/>
        <w:gridCol w:w="960"/>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534410" cy="175260"/>
                      <wp:effectExtent l="0" t="0" r="0" b="0"/>
                      <wp:wrapNone/>
                      <wp:docPr id="357" name="Frame357"/>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52400" cy="175260"/>
                      <wp:effectExtent l="0" t="0" r="0" b="0"/>
                      <wp:wrapNone/>
                      <wp:docPr id="359" name="Frame35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76580" cy="175260"/>
                      <wp:effectExtent l="0" t="0" r="0" b="0"/>
                      <wp:wrapNone/>
                      <wp:docPr id="360" name="Frame36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50825" cy="175260"/>
                      <wp:effectExtent l="0" t="0" r="0" b="0"/>
                      <wp:wrapNone/>
                      <wp:docPr id="361" name="Frame36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2400" cy="175260"/>
                      <wp:effectExtent l="0" t="0" r="0" b="0"/>
                      <wp:wrapNone/>
                      <wp:docPr id="362" name="Frame36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09600" cy="175260"/>
                      <wp:effectExtent l="0" t="0" r="0" b="0"/>
                      <wp:wrapNone/>
                      <wp:docPr id="363" name="Frame363"/>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5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5" w:type="dxa"/>
            <w:tcBorders/>
            <w:vAlign w:val="center"/>
          </w:tcPr>
          <w:p>
            <w:pPr>
              <w:pStyle w:val="TableContents"/>
              <w:bidi w:val="0"/>
              <w:spacing w:before="0" w:after="1"/>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65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4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(20,727)</w:t>
            </w:r>
          </w:p>
        </w:tc>
        <w:tc>
          <w:tcPr>
            <w:tcW w:w="395" w:type="dxa"/>
            <w:tcBorders/>
            <w:shd w:fill="CCEEFF" w:val="clear"/>
            <w:vAlign w:val="center"/>
          </w:tcPr>
          <w:p>
            <w:pPr>
              <w:pStyle w:val="TableContents"/>
              <w:bidi w:val="0"/>
              <w:spacing w:before="0" w:after="1"/>
              <w:ind w:left="0" w:right="0" w:hanging="0"/>
              <w:jc w:val="left"/>
              <w:rPr/>
            </w:pPr>
            <w:r>
              <w:rPr/>
              <w:t>  ​ ​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(80,775)</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(25,894)</w:t>
            </w:r>
          </w:p>
        </w:tc>
        <w:tc>
          <w:tcPr>
            <w:tcW w:w="395"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123,782</w:t>
            </w:r>
          </w:p>
        </w:tc>
        <w:tc>
          <w:tcPr>
            <w:tcW w:w="395"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77,161</w:t>
            </w:r>
          </w:p>
        </w:tc>
        <w:tc>
          <w:tcPr>
            <w:tcW w:w="395"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(76,083)</w:t>
            </w:r>
          </w:p>
        </w:tc>
      </w:tr>
    </w:tbl>
    <w:p>
      <w:pPr>
        <w:pStyle w:val="TextBody"/>
        <w:bidi w:val="0"/>
        <w:spacing w:before="0" w:after="240"/>
        <w:ind w:left="0" w:right="0" w:firstLine="720"/>
        <w:jc w:val="both"/>
        <w:rPr/>
      </w:pPr>
      <w:r>
        <w:rPr/>
        <w:t>​</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net cash used in operating activities was $20.7 million. This primarily reflects a net income of $114.4 million, which was driven by revenue recognized for the licenses granted for the Clinical Programs and the Delivery Device to Hologen, partially offset by a net total of $19.5 million non-cash adjustments. These non-cash adjustments included $105.0 million of non-cash consideration received from related party – revenue arrangement, $71.9 million of undistributed losses of equity method investee, $27.7 million of acquired 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process research and development, $7.4 million of share-based compensation, $5.8 million of depreciation and amortization, $5.2 million of loss on initial recognition of derivative liability, $4.3 million of foreign exchange losses, $1.3 million of change in right-of-use assets and $0.7 million of amortization of debt discount. In addition, changes in working capital affected operating cash flows, with operating assets decreasing by $52.8 million and operating liabilities decreasing by $101.7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our cash used in operating activities of $80.8 million was primarily due to a net loss of $78.8 million as we incurred expenses associated with research activities on our clinical programs, manufacturing of our clinical trial materials, preclinical research programs and general and administrative expenses. The net loss included non-cash income and expense of $8.8 million, which consisted primarily of $12.3 million of a foreign exchange gain, $10.6 million of share-based compensation, $6.3 million of depreciation and amortization, $5.1 million of change in right-of-use assets, $1.4 million of gain on termination of lease liability, $0.1 million gain on disposal of equipment, furniture and fixtures, and $0.6 million of amortization of debt discount. Additionally, operating assets, consisting of accounts receivable – related party, prepaid expenses, tax incentive receivable, other assets and other current assets, increased by $5.8 million and operating liabilities, consisting of accounts payable, accrued expenses and deferred revenue – related party, decreased by $16.7 million.</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for the six months ended June 30, 2026 was $25.9 million. This primarily consisted of $24.2 million used for the acquisition of in-process research and development assets and $2.3 million of purchases of property and equipment for our manufacturing, laboratory and process development facilities, partially offset by $0.7 million of proceeds from the sale of a non-controlling interest in MeiraGTx Manufacturing to Hologen.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for the six months ended June 30, 2025 of $2.5 million consisted of purchases of property and equipment for our manufacturing, laboratory and process development facilities.</w:t>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$123.8 million for the six months ended June 30, 2026, consisting of $128.2 million net proceeds from the issuance of our ordinary shares and $100.0 million proceeds from the Royalty Notes, partially offset by payment of the $75.0 million outstanding principal under the Notes Purchase Agreement, $18.2 million to repurchase 2.3 million of our ordinary shares from Perceptive Life Sciences Master Fund, Ltd. pursuant to a share purchase agreement, $6.1 million of costs associated with the issuance of ordinary shares and $6.0 million paid to satisfy tax withholding obligations upon the vesting of restricted share unit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$7.2 million for the six months ended June 30, 2025, which consisted of $9.9 million net proceeds from an “at-the-market” offering of our ordinary shares, offset by the payment of $2.8 million to cover tax withholding obligations upon the vesting of restricted share unit awards.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off-balance sheet arrangements under applicable SEC rules and do not have any holdings in variable interest entities.</w:t>
      </w:r>
    </w:p>
    <w:p>
      <w:pPr>
        <w:pStyle w:val="TextBody"/>
        <w:bidi w:val="0"/>
        <w:spacing w:before="0" w:after="240"/>
        <w:ind w:left="0" w:right="0" w:hanging="0"/>
        <w:jc w:val="left"/>
        <w:rPr>
          <w:rFonts w:ascii="Times New Roman;Times;serif" w:hAnsi="Times New Roman;Times;serif"/>
          <w:b/>
          <w:sz w:val="20"/>
        </w:rPr>
      </w:pPr>
      <w:bookmarkStart w:id="1584" w:name="Item3QuantitativeandQualitativeDisclosur"/>
      <w:bookmarkStart w:id="1585" w:name="_63fb71cc_66d2_42c8_bccd_be624f368374"/>
      <w:bookmarkEnd w:id="1584"/>
      <w:bookmarkEnd w:id="1585"/>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section updates “Item 7A. Quantitative and Qualitative Disclosures of Market Risk” in the Annual Report on Form 10-K for the fiscal year ended December 31, 2025 and should be read in conjunction with that report as well as our condensed consolidated financial statements included in “Part 1, Item 1. Financial Statements” of this Quarterly Report on Form 10-Q.</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45" w:right="0" w:hanging="0"/>
        <w:jc w:val="left"/>
        <w:rPr>
          <w:rFonts w:ascii="Times New Roman;Times;serif" w:hAnsi="Times New Roman;Times;serif"/>
          <w:b/>
          <w:i/>
          <w:sz w:val="20"/>
        </w:rPr>
      </w:pPr>
      <w:r>
        <w:rPr>
          <w:rFonts w:ascii="Times New Roman;Times;serif" w:hAnsi="Times New Roman;Times;serif"/>
          <w:b/>
          <w:i/>
          <w:sz w:val="20"/>
        </w:rPr>
        <w:t>Foreign Currency Exchange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operate in the United States, the United Kingdom and the European Union. Our activities in these jurisdictions expose us to currency exchange rate fluctuations, primarily between the U.S. Dollar and the British pound sterling and euro. When the U.S. Dollar strengthens against these currencies, the U.S. Dollar value of non-U.S. Dollar based losses increases. To the extent that our international activities recorded in local currencies increase in the future, our exposure to fluctuations in currency exchange rates will correspondingly increase. As of June 30, 2026, we did not hold any foreign currency forward contracts. With respect to our foreign currency exposures as of June 30, 2026, we estimate a 10% unfavorable movement in foreign currency exchange rates would have the effect of creating an additional foreign currency loss of approximately $14.3 million within other non-operating income (expense) for the six months ended June 30, 2026.</w:t>
      </w:r>
    </w:p>
    <w:p>
      <w:pPr>
        <w:pStyle w:val="TextBody"/>
        <w:bidi w:val="0"/>
        <w:spacing w:before="0" w:after="240"/>
        <w:ind w:left="245"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Prior to the repayment and termination of the Notes Purchase Agreement on June 30, 2026, we were exposed to market risk as a result of changes in interest rates applicable to borrowings under our Notes Purchase Agreement. Borrowings under the Notes Purchase Agreement bear interest at a fluctuating rate per annum equal to 10.00% plus the secured overnight financing rate administered by the Federal Reserve Bank of New York for a one-month tenor, subject to a 1.00% floor. On June 30, 2026, we repaid all outstanding borrowings and terminated the Notes Purchase Agreement. As a result, we had no fluctuating rate debt outstanding as of June 30, 2026 and were not exposed to interest rate risk related to borrowings at quarter end. </w:t>
      </w:r>
    </w:p>
    <w:p>
      <w:pPr>
        <w:pStyle w:val="TextBody"/>
        <w:bidi w:val="0"/>
        <w:spacing w:before="0" w:after="240"/>
        <w:ind w:left="0" w:right="0" w:hanging="0"/>
        <w:jc w:val="left"/>
        <w:rPr>
          <w:rFonts w:ascii="Times New Roman;Times;serif" w:hAnsi="Times New Roman;Times;serif"/>
          <w:b/>
          <w:sz w:val="20"/>
        </w:rPr>
      </w:pPr>
      <w:bookmarkStart w:id="1586" w:name="Item4ControlsandProcedures_891132"/>
      <w:bookmarkStart w:id="1587" w:name="_55ae4f0f_8dae_40c2_8da6_de7216b9d262"/>
      <w:bookmarkEnd w:id="1586"/>
      <w:bookmarkEnd w:id="1587"/>
      <w:r>
        <w:rPr>
          <w:rFonts w:ascii="Times New Roman;Times;serif" w:hAnsi="Times New Roman;Times;serif"/>
          <w:b/>
          <w:sz w:val="20"/>
        </w:rPr>
        <w:t>Item 4. Controls and Procedures.</w:t>
      </w:r>
    </w:p>
    <w:p>
      <w:pPr>
        <w:pStyle w:val="TextBody"/>
        <w:bidi w:val="0"/>
        <w:spacing w:before="0" w:after="240"/>
        <w:ind w:left="245"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shd w:fill="FFFFFF" w:val="clear"/>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hd w:fill="FFFFFF" w:val="clear"/>
        <w:bidi w:val="0"/>
        <w:spacing w:before="0" w:after="0"/>
        <w:ind w:left="0" w:right="0" w:firstLine="480"/>
        <w:jc w:val="both"/>
        <w:rPr/>
      </w:pPr>
      <w:r>
        <w:rPr/>
        <w:t>​</w:t>
      </w:r>
    </w:p>
    <w:p>
      <w:pPr>
        <w:pStyle w:val="TextBody"/>
        <w:bidi w:val="0"/>
        <w:spacing w:before="0" w:after="240"/>
        <w:ind w:left="245"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hd w:fill="FFFFFF" w:val="clear"/>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Our management, with the participation of our Chief Executive Officer (principal executive officer) and our Chief Financial Officer (principal financial officer), evaluated, as of the end of the period covered by this Form 10-Q, the effectiveness of our disclosure controls and procedures (as defined in Rules 13a-15(e) and 15d-15(e) under the Securities Exchange Act of 1934, as amended (the “Exchange Act”)). Based on that evaluation, our Chief Executive Officer (principal executive officer) and Chief Financial Officer (principal financial officer) concluded that our disclosure controls and procedures were effective at the reasonable assurance level at the end of the period covered by this Form 10-Q.</w:t>
      </w:r>
    </w:p>
    <w:p>
      <w:pPr>
        <w:pStyle w:val="TextBody"/>
        <w:shd w:fill="FFFFFF" w:val="clear"/>
        <w:bidi w:val="0"/>
        <w:spacing w:before="0" w:after="0"/>
        <w:ind w:left="0" w:right="0" w:firstLine="480"/>
        <w:jc w:val="both"/>
        <w:rPr/>
      </w:pPr>
      <w:r>
        <w:rPr/>
        <w:t>​</w:t>
      </w:r>
    </w:p>
    <w:p>
      <w:pPr>
        <w:pStyle w:val="TextBody"/>
        <w:bidi w:val="0"/>
        <w:spacing w:before="0" w:after="240"/>
        <w:ind w:left="245"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88" w:name="PARTIIOTHERINFORMATION_341431"/>
      <w:bookmarkStart w:id="1589" w:name="_b35e8302_7a0f_4617_971d_d109bf06327f"/>
      <w:bookmarkEnd w:id="1588"/>
      <w:bookmarkEnd w:id="1589"/>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590" w:name="Item1LegalProceedings_709588"/>
      <w:bookmarkEnd w:id="1590"/>
      <w:r>
        <w:rPr>
          <w:rFonts w:ascii="Times New Roman;Times;serif" w:hAnsi="Times New Roman;Times;serif"/>
          <w:b/>
          <w:sz w:val="20"/>
        </w:rPr>
        <w:t>Item 1.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subject to any material legal proceedings.</w:t>
      </w:r>
    </w:p>
    <w:p>
      <w:pPr>
        <w:pStyle w:val="TextBody"/>
        <w:bidi w:val="0"/>
        <w:spacing w:before="0" w:after="240"/>
        <w:ind w:left="0" w:right="0" w:hanging="0"/>
        <w:jc w:val="left"/>
        <w:rPr>
          <w:rFonts w:ascii="Times New Roman;Times;serif" w:hAnsi="Times New Roman;Times;serif"/>
          <w:b/>
          <w:sz w:val="20"/>
        </w:rPr>
      </w:pPr>
      <w:bookmarkStart w:id="1591" w:name="_c2f1ba38_01ef_4883_9844_e34c5e839807"/>
      <w:bookmarkStart w:id="1592" w:name="Item1ARiskFactors_220365"/>
      <w:bookmarkEnd w:id="1591"/>
      <w:bookmarkEnd w:id="1592"/>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Investing in our ordinary shares involves a high degree of risk. You should consider carefully the risks described below, together with the other information included or incorporated by reference in this Form 10-Q. If any of the following risks occur, our business, financial condition, results of operations and future growth prospects could be materially and adversely affected. In these circumstances, the market price of our ordinary shares could decline. Other events that we do not currently anticipate or that we currently deem immaterial may also affect our business, prospects, financial condition and 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losses since inception and anticipate that we will incur continued losses for the foreseeable future, and may never achieve or maintain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clinical stage company with limited operating history and have not generated any product revenue to date. We were formed and began operations in 2015. Prior to the three and six month periods ended June 30, 2026, we had never been profitable. Although we achieved profitable operations for the current periods, such profitability was primarily attributable to non-recurring transactions and there is no assurance that profitable operations could be sustained on a continuing basis in the foreseeable future. Prior to the current period, we incurred net losses since inception. As of June 30, 2026, we had an accumulated deficit of approximately $701.8 million. Since our inception, we have devoted substantially all of our resources to developing our technology platform, establishing our viral vector manufacturing facilities and plasmid and DNA production facility, developing manufacturing processes, advancing the product candidates in our ophthalmology, salivary gland and neurodegenerative disease programs, research and development activities, including our riboswitch gene regulation platform technology, building our intellectual property portfolio, organizing and staffing our company, developing our business plans, raising capital, securing debt financing and providing general and administrative support for these operations. We have not yet demonstrated an ability to successfully complete large-scale, pivotal clinical trials, obtain marketing approval, manufacture product at a commercial scale, or arrange for a third party to do so on our behalf, or conduct sales and marketing activities necessary for successful product commercialization. Given the length of time typically needed to develop a new drug from the time it enters Phase 1 clinical trials to when it is approved for treating patients, if ever, predictions about our future success or viability may not be as accurate as they could be if we had a longer operating history or a history of successfully developing and commercializing genetic medicine products.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to continue to incur significant expenses and additional operating losses in the future as we seek to advance product candidates through preclinical and clinical development, expand our research, development and manufacturing activities, develop new product candidates, build and expand our intellectual product portfolio, complete clinical trials, seek regulatory approval and, if we receive regulatory approval, commercialize our products. Furthermore, the costs of advancing product candidates into each succeeding clinical phase tend to increase substantially over time, including the ongoing Phase 2 AQUAx2 clinical trial of AAV-hAQP1 for the treatment of patients with radiation-induced xerostomia. In addition, we expect to continue incurring increasing research and development costs associated with our clinical activities for AAV-GAD for the treatment of Parkinson’s disease, although certain activities related to the AAV-GAD program are performed under our strategic collaboration with Hologen and are expected to generate service revenue that will fund the related development activities. We also expect to incur increasing research and development costs in connection with research, preclinical and clinical activities for our riboswitch platform. We also expect to incur costs related to the long-term follow up study for patients that enrolled in the Phase 3 LUMEOS clinical trial of bota-vec for the treatment of XLRP, as well as costs related to regulatory activities. The total costs to advance any of our product candidates to marketing approval in even a single jurisdiction would be substantial. Because of the numerous risks and uncertainties associated with gene therapy product development, we are unable to accurately predict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timing or amount of increased expenses or whether we will be able to begin generating revenue from the commercialization of products or achieve or maintain profitability.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Before we generate any revenue from product sales, each of our programs and product candidates will require additional preclinical and/or clinical development, potential regulatory approval in multiple jurisdictions, manufacturing, building of a commercial organization, substantial investment and significant marketing efforts. Our expenses could increase beyond expectations if we are required by the FDA, UK Medicines and Healthcare products Regulatory Agency (the “MHRA”), European Medicines Agency (the “EMA”), or other regulatory authorities to perform preclinical studies and clinical trials in addition to those that we currently anticipate. These risks are further described under “—Risks Related to Discovery, Development, Clinical Testing, Manufacturing and Regulatory Approval” and “—Risks Related to Commercialization.” As a result, we expect to continue to incur net losses for the foreseeable future. These net losses have had, and will continue to have, an adverse effect on our shareholders’ equity and working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 If we are unable to develop and commercialize one or more of our product candidates either alone or with collaborators, or if revenues from any product candidate that receives marketing approval are insufficient, we will not achieve profitability. Even if we do achieve profitability in the future, we may not be able to sustain or increase profitability. If we are unable to achieve and then maintain profitability, the value of our equity securities will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require additional capital to fund our operations, which may not be available on acceptable terms, if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to spend substantial amounts to complete the development of, seek regulatory approvals for and commercialize our product candidates, as well as maintain and/or expand our manufacturing and supply chain capabilities. This will require additional capital, which we may raise through equity offerings, debt financings, additional borrowings under the Royalty Note Purchase Agreement, marketing and distribution arrangements and other collaborations, strategic alliances and licensing arrangements or other sources. Our ability to raise additional capital when needed has been and may in the future be adversely affected by external factors beyond our control, including changes in the political climate, geopolitical actions, changes in market interest rates, potential reforms and changes to government regulations, the effect of healthcare reform legislation, including those that may limit pricing of pharmaceutical products and drugs, market prices and conditions, prospects for favorable or unfavorable clinical trial results, new product initiatives, the manufacturing and distribution of new products, product safety and efficacy issues, new collaborations and strategic alliances and licensing arrangements.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has diverted and may in the future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operations have consumed significant amounts of cash since inception. As of June 30, 2026, our cash, cash equivalents and restricted cash were $145.4 million. Based on our cash, cash equivalents, accounts receivable, accounts receivable – related party, unbilled receivables – related party and tax incentive receivable at June 30, 2026, together with the second purchase of $25.0 million of Royalty Notes under the Royalty Note Purchase Agreement and $10.0 million proceeds from the sale of our ordinary shares under the Securities Purchase Agreement in the third quarter of 2026 (see Note 12 to our unaudited condensed consolidated financial statements included elsewhere in this Form 10-Q for a description of these transactions), and the additional $95.0 million upfront payment due from Hologen and associated reimbursements, we estimate that such funds will be sufficient to enable us to fund our operating expenses and capital expenditure requirements into the second half of 2028. This estimate does not include the $135.0 million in potential near-term cash consideration from Lilly upon achievement of certain development and regulatory approval milestones, or any subsequent tranches available under the Royalty Note Purchase Agreement. This estimate is based on assumptions that may prove to be wrong, and we could use our available capital resources sooner than we currently expect. Changing circumstances could cause us to spend more than expected or consume capital significantly faster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currently anticipate, such as inflation or other factors that may significantly increase our business costs. Because the length of time and activities associated with successful development of our product candidates is uncertain, we are unable to estimate the actual funds we will require for development and any approved marketing and commercialization activities. Our future funding requirements, both near and long-term,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timing, costs and results of our ongoing clinical development for our X-linked retinitis pigmentosa product candidate, bota-vec, including costs related to the long-term follow up study for patients that enrolled in the Phase 3 LUMEOS clinical trial of bota-vec for the treatment of XLRP, as well as costs related to our regulatory activities and, if bota-vec is approved, costs related to commercialization and any milestone or royalty payments we make to Janssen;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progress, timing, costs and results of our clinical development for our radiation-induced xerostomia product candidate, AAV-hAQP1, as well as costs, if approved, related to commercialization of AAV-hAQP1;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progress, timing, costs and results of our ongoing clinical development for our AAV-AIPL1 gene therapy product candidate under the Lilly Collaboration Agreement, which costs are expected to be offset by service revenue we receive from Lilly as part of certain development and manufacturing activities we perform under the Lilly Collaboration Agreement and related agreements;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progress, timing, costs and results of our clinical development for our product candidate for the treatment of Parkinson’s disease, AAV-GAD, although certain of these costs are expected to be offset by service revenue we receive from Hologen as part of certain development activities we perform under the strategic collaboration we entered into with them;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transformative riboswitch gene regulation platform technology designed to precisely and specifically control gene therapy expression levels via dose-response to orally delivered small molecules;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product candidate for the treatment of ALS, AAV-UPF1, our product candidate for the treatment of xerostomia associated with Sjogren’s syndrome, AAV-hAQP1, and our product candidate for the treatment of neovascular age related macular degeneration, or wet AMD;</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to which we receive the milestone payments under the Lilly Collaboration Agreement;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our current research programs and our preclinical development of product candidates from our current research programs;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to identify, assess, acquire and/or develop additional research programs and additional product candidates;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testing and clinical trials for any product candidates we identify and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outcome, timing and cost of meeting regulatory requirements established by the FDA, MHRA, EMA and other regulatory authorities;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expanding and protecting our intellectual property portfolio, including filing, prosecuting, defending and enforcing our patent claims and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potential intellectual property disputes, including patent infringement actions brought by third parties against us or any of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further developing and scaling our manufacturing facilities and processes;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completion of commercial-scale manufacturing facilities and activities;</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making royalty, milestone or other payments under current and any future in-license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collaborations, licensing or other agreements and the financial terms of such agreements;</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in-license or acquire rights to other products,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sales, marketing and distribution capabilities for our product candidates in regions where we choose to commercialize our products;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and results of our commercialization of our product candidates, if approved for commercial sale.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Raising additional capital through the sale of equity, convertible debt securities or warrants will dilute your ownership interest, and the terms of these securities may include liquidation or other preferences that adversely affect your rights as a shareholder. Additional debt financing or preferred equity financing, if available, may involve agreements that include covenants further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pBdr/>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We may not have sufficient cash flows or cash on hand to satisfy our debt obligations or covenants under our financing arrangements, or we may not be able to effectively manage our business in compliance with such covenants.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June 30, 2026, we and certain of our subsidiaries entered into a Royalty Note Purchase Agreement (the “Royalty Note Purchase Agreement”), by and among MeiraGTx, LLC, as issuer, MeiraGTx Holdings plc and certain of its subsidiaries, as obligors (collectively, the “Obligors”), the purchasers party thereto (the “Purchasers”) and Maverick SA LLC, as purchaser agent, an affiliate of funds managed by Oberland Capital. </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Royalty Note Purchase Agreement, the Purchasers agreed to purchase senior secured royalty notes (the “Royalty Notes”) from MeiraGTx, LLC of up to $375 million in a series of purchases of Royalty Note purchases (each, a “Purchase”) as follows:</w:t>
      </w:r>
    </w:p>
    <w:tbl>
      <w:tblPr>
        <w:tblW w:w="7446" w:type="dxa"/>
        <w:jc w:val="left"/>
        <w:tblInd w:w="0" w:type="dxa"/>
        <w:shd w:fill="FFFFFF" w:val="clear"/>
        <w:tblLayout w:type="fixed"/>
        <w:tblCellMar>
          <w:top w:w="28" w:type="dxa"/>
          <w:left w:w="28" w:type="dxa"/>
          <w:bottom w:w="28" w:type="dxa"/>
          <w:right w:w="28" w:type="dxa"/>
        </w:tblCellMar>
      </w:tblPr>
      <w:tblGrid>
        <w:gridCol w:w="124"/>
        <w:gridCol w:w="286"/>
        <w:gridCol w:w="70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initial Purchase on June 30, 2026 for an aggregate purchase price of $100 million;</w:t>
            </w:r>
          </w:p>
        </w:tc>
      </w:tr>
    </w:tbl>
    <w:tbl>
      <w:tblPr>
        <w:tblW w:w="7341" w:type="dxa"/>
        <w:jc w:val="left"/>
        <w:tblInd w:w="0" w:type="dxa"/>
        <w:shd w:fill="FFFFFF" w:val="clear"/>
        <w:tblLayout w:type="fixed"/>
        <w:tblCellMar>
          <w:top w:w="28" w:type="dxa"/>
          <w:left w:w="28" w:type="dxa"/>
          <w:bottom w:w="28" w:type="dxa"/>
          <w:right w:w="28" w:type="dxa"/>
        </w:tblCellMar>
      </w:tblPr>
      <w:tblGrid>
        <w:gridCol w:w="124"/>
        <w:gridCol w:w="346"/>
        <w:gridCol w:w="68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second Purchase on July 17, 2026 for an aggregate purchase price of $25 million;</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367"/>
        <w:gridCol w:w="9714"/>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MeiraGTx, LLC’s option and subject to the satisfaction of certain conditions, an additional Purchase for an aggregate purchase price of $50 million upon the occurrence of positive data readouts from the Phase 2 AQUAx2 study for AAV-hAQP1 for the treatment of radiation-induced xerostomia;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352"/>
        <w:gridCol w:w="9729"/>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MeiraGTx, LLC’s option and subject to the satisfaction of certain conditions, an additional Purchase for an aggregate purchase price of $50 million upon bota-vec receipt of marketing approval from either the FDA or the EMA for the treatment of RPGR gene-associated X-linked retinitis pigmentosa;</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95"/>
        <w:gridCol w:w="97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MeiraGTx, LLC’s option and subject to the satisfaction of certain conditions, an additional Purchase for an aggregate purchase price of $50 million upon AAV-hAQP1’s receipt of marketing approval from the FDA for the treatment of radiation-induced xerostomia;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365"/>
        <w:gridCol w:w="971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MeiraGTx, LLC’s option and subject to the approval of each Purchaser agreeing to participate therein, in its sole discretion, a sixth Purchase for an aggregate purchase price of up to $100 million.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enter into a change of control with a third party at any time, and if we consummate a change of control with a third party, we may be required to pay certain specified amounts to Purchasers depending on the timing of such change of control and the identity of such acquiror.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Purchasers will be entitled to receive capped payments (the “Revenue Payments”) equal to 1.95% of the global net sales (“Net Sales”) of our gene therapy products AAV-AIPL1, AAV-hAQP1 and bota-vec (the “Included Products”) after marketing approval is received for each Included Product, which may increase pro rata upon the making of any Purchase subsequent to the aggregate purchases of $125 million in Royalty Notes, and may decrease pro rata upon any voluntary partial repurchase at any time of the Royalty Notes, in each case subject to the applicable cap. If the aggregate amount of Revenue Payments, any milestone payment we make under the Royalty Note Purchase Agreement and voluntary repurchase amounts we make to the Purchasers pursuant to the Royalty Note Purchase Agreement as of December 31, 2031 (the “Test Date”) equals or exceeds the amount of the aggregate purchase price for the Royalty Notes paid by the Purchasers (the “Total Funded Amount”) to us pursuant to the Royalty Note Purchase Agreement (the “Test Date Condition”), the then-applicable percentage of Net Sales payable as Revenue Payments will automatically decrease by a percentage specified in the Royalty Note Purchase Agreement for all subsequent years, subject to the applicable cap. If the Test Date Condition is not satisfied by the Test Date of December 31, 2031, the then-applicable percentage of Net Sales payable as Revenue Payments may increase for all subsequent years, subject to the applicable cap, to a rate that would have provided the Purchasers with 100% of the Total Funded Amount as of the Test Date had such rate applied from June 30, 2026 through and including the Test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Non-refundable milestone payments, all subject to the applicable cap. are due after the first marketing approval by the FDA, EMA or MHRA of any product, and increase by an additional amount if the purchase for the positive data readouts from the Phase 2 AQUAx2 study for AAV-hAQP1 is funded. The repayment amount is due on the maturity date of June 30, 2036 or earlier acceleration for an event of default or change of control. Interest shall accrue on all past due payments immediately upon the occurrence and during the continuance of an event of default.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elect at any time and at our sole discretion to voluntarily repay in whole or in part in $25 million increments the Total Funded Amount plus agreed capped multiples.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obligations under the Royalty Note Purchase Agreement are guaranteed by the Company and certain of its subsidiaries. To secure the Obligors’ obligations under the Royalty Note Purchase Agreement, the Obligors have granted a security interest in the Obligors’ cash, equity interests, receivables, property, plant and equipment and in specific assets related to the Included Products for the benefit of the Purchasers.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Royalty Note Purchase Agreement contains various restrictions and covenants on the part of the Obligors, including, among other things, covenants regarding our ability to incur additional indebtedness, grant liens, merge or consolidate, transfer or dispose of assets, make investments, make acquisitions, enter into certain transactions with affiliates and pay dividends or make distributions, in each case, subject to certain exceptions set forth in the Royalty Note Purchase Agreement. The covenants may restrict our current and future operations, particularly our ability to respond to certain changes in our business or industry, or take future actions. Additionally, our ability to comply with these restrictive covenants may be impacted by events beyond our control, such as economic conditions or major central bank policy 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Purchasers have an option to terminate the Royalty Note Purchase Agreement and to require us to repurchase the Royalty Notes in full for an amount equal to the Total Funded Amount plus an agreed capped multiple upon certain enumerated events of default, including, without limitation, our failure to pay certain amounts when due or our breach or failure to satisfy certain restrictive covenants. If the Purchasers were to exercise their option or otherwise declare an event of default under the Royalty Note Purchase Agreement, that could result in foreclosure on all or substantially all of the assets in which we have granted a security interest, which could significantly harm our business, financial condition and results of operations and could potentially result in a substantial or complete loss of your investment in our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can be no assurance that our cash and cash equivalents available under the Royalty Note Purchase Agreement and under any future financings, together with any funds generated by our operations, will be sufficient to satisfy our payment obligations. Our inability to generate funds, obtain financing sufficient to satisfy our payment obligations or remain in compliance with the covenants may result in such obligations being accelerated by the Purchasers, which would likely have a material adverse effect on our business, financial condition and results of operations. We may be required to pursue one or more alternatives, such as raising additional capital through equity offerings on terms that may be onerous or highly dilutive, selling assets or restructuring our indebtedness. We may have to relinquish valuable rights to the Included Products, other intellectual property or future revenue streams, or grant licenses on terms that are not favorable to us. Our ability to refinance our indebtedness will depend on the capital and credit markets and our financial condition at such time. If prevailing interest rates or other factors at the time of refinancing result in higher interest rates upon refinancing, then the expense relating to the refinancing would increase. Any of the foregoing risks could materially adversely affect our financial condition, cash flows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review of potential strategic transactions may not result in an executed or consummated transaction or other strategic alternative and may not result in anticipated benefits to us or our shareholders, and the process of reviewing strategic transactions or its conclusion could be disruptive and distracting to our business operations and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and may continue to, opportunistically identify and evaluate strategic opportunities regarding our assets. Any significant delay in consummating or a failure to consummate or complete a transaction could have a material adverse effect on our future business or operating results. There can be no assurance that we will be successful in our efforts to pursue or advance such options, or identify similar opportunities, or that any potential transaction would be consummated or, if consummated, will provide the anticipated benefits to us or otherwise enhance shareholder value. Any such potential transaction would be dependent upon a number of factors beyond our control, including, without limitation, market conditions, industry trends, the interest of third parties in our assets and whether the terms of any strategic transaction would be acceptable to us. The process of reviewing potential strategic alternatives is time consuming and may be distracting and disruptive to our business operations and long-term planning, which may cause concern to our current or potential customers, employees, investors, strategic partners and other constituencies and may have a material impact on our business and operating results or result in increased volatility in our share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heavily dependent on the success of our product candidates, which are still in development, and if none of them receive regulatory approval or are successfully commercialized, our business may be harmed.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future success and ability to generate product revenue is substantially dependent on our ability to successfully develop, manufacture, obtain regulatory approval for and successfully commercialize our product candidates. We currently have no products that are approved for commercial sale and may never be able to develop marketable products. We have invested and expect to continue to invest a meaningful portion of our efforts and expenditures over the next few years in the development of bota-vec, AAV-hAQP1, AAV-AIPL1, AAV-GAD and our riboswitch gene regulation technology platform, as well as potentially other clinical and pre-clinical programs, which will require additional clinical development, management of clinical and manufacturing activities, regulatory approval in multiple jurisdictions, manufacturing sufficient supply, building of a commercial organization, substantial investment and significant marketing efforts before we can generate any revenues from any commercial sales. While we have entered into the Lilly Collaboration Agreement with respect to AAV-AIPL1 and two other preclinical product candidates which are intended to treat other inherited retinal dystrophies, there can be no assurance that these product candidates will be successfully developed and commercialized by us or Lilly. We cannot be certain that our product candidates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 successful in clinical trials, receive regulatory approval or be successfully commercialized even if we receive regulatory approval. Even if we receive approval to market our product candidates from the FDA, MHRA or other regulatory bodies, we cannot be certain that our product candidates will be successfully commercialized by us or any of our collaborators, widely accepted in the marketplace or more effective than other commercially available alternatives. Additionally, the research, testing, manufacturing, labeling, approval, sale, marketing and distribution of gene therapy products are and will remain subject to extensive and evolving regulation by the FDA, MHRA and other regulatory authorities. We are not permitted to market our product candidates in the United States until they receive approval of a biologics license application, or BLA, from the FDA, we cannot market them in the UK or European Union, or EU, until we receive approval for a marketing authorization, or MA, from the MHRA or European Commission, respectively, and we cannot market them in other countries until we receive any other required regulatory approval in those countries.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some of our product candidates are based on similar technology, if any of our product candidates show unexpected adverse events or a lack of efficacy in the indications we intend to treat, or if we experience other regulatory or developmental issues, our development plans and business could be significantly harmed. Further, competitors may be developing products with similar technology and may experience problems with their products that could identify problems that would potentially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identify additional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Part of our strategy involves identifying novel product candidates. The process by which we identify product candidates may fail to yield product candidates for clinical development for a number of reasons, including those discussed in these risk factors and also:</w:t>
      </w:r>
    </w:p>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assemble sufficient resources to acquire or discover additional product candidates;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alternatives that render our potential product candidates obsolete or less attractive;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we develop may nevertheless be covered by third parties’ patents or other exclusive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toxicities or other characteristics that indicate that they are unlikely to be products that will receive marketing approval and achieve market acceptance;</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not be effective in treating their targeted diseases;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a potential product candidate may change so that the continued development of that product candidate is no longer reasonable;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product candidate may not be capable of being produced in commercial quantities at an acceptable cost, or at all;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pathway for a potential product candidate may be too complex and difficult to navigate successfully or economically.</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may choose to focus our efforts and resources on a potential product candidate that ultimately proves to be unsuccessful.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If we are unable to identify additional suitable product candidates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clinical development, this would adversely impact our business strategy and our financial position and share price and could potentially cause us to cease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Discovery, Development, Clinical Testing, Manufacturing and Regulatory Approval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 is difficult to predict the time and cost of product candidate development on our novel gene therapy platform. A limited number of gene therapies have been approved in the United States or in Europe.</w:t>
      </w:r>
    </w:p>
    <w:p>
      <w:pPr>
        <w:pStyle w:val="TextBody"/>
        <w:bidi w:val="0"/>
        <w:spacing w:before="0" w:after="240"/>
        <w:ind w:left="0" w:right="0" w:firstLine="648"/>
        <w:jc w:val="left"/>
        <w:rPr>
          <w:rFonts w:ascii="Times New Roman;Times;serif" w:hAnsi="Times New Roman;Times;serif"/>
          <w:sz w:val="20"/>
        </w:rPr>
      </w:pPr>
      <w:r>
        <w:rPr>
          <w:rFonts w:ascii="Times New Roman;Times;serif" w:hAnsi="Times New Roman;Times;serif"/>
          <w:sz w:val="20"/>
        </w:rPr>
        <w:t>We have concentrated a portion of our research and development efforts on our gene therapy platform, which uses both transduction and gene control technology. Our future success depends on the successful development of these novel therapeutic approaches. To date, a limited number of products that utilize gene transfer have been approved in the United States or Europe.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gene therapy platform is based on a suite of viral vectors which we can deploy with gene therapy constructs, which relies on the ability of AAV to efficiently transmit a therapeutic gene to certain kinds of cells. The mechanism of action by which these vectors target particular tissues is still not completely understood. Therefore, it is difficult for us to determine that our vectors will be able to properly deliver gene transfer constructs to enough tissue cells to reach therapeutic levels. We cannot be certain that animal models will exist for some of the diseases we expect to pursue, that our viral vectors will be able to meet safety and efficacy levels needed to be therapeutic in humans or that they will not cause significant adverse events or toxicities. Furthermore, prior work conducted by a third party in non-human primates suggests that intravenous, or IV, delivery of certain AAV vectors at very high doses may result in severe toxicity. The indications that we target do not use IV administration for viral vector delivery and do not use doses as high as those tested in these publications, and to date we have not observed the severe toxicities described in these publications with the naturally occurring AAV vectors that we use. However, we cannot be certain that we will be able to avoid triggering toxicities in our future preclinical studies or clinical trials. Any such results could impact our ability to develop a product candidate. As a result of these factors, it is more difficult for us to predict the time and cost of product candidate development, and we cannot predict whether the application of our gene therapy platform, or any similar or competitive gene therapy platforms, will result in the identification, development, and regulatory approval of any product candidates, or that other gene therapy technologies will not be considered better or more attractive. There can be no assurance that any development problems we experience in the future related to our gene therapy platform or any of our research programs will not cause significant delays or unanticipated costs, or that such development problems can be solved. Any of these factors may prevent us from completing our preclinical studies or clinical trials or commercializing any product candidates we may develop on a timely or profitable basis, if at all.</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In addition, because our gene regulation technology is still in the research stage, we have not yet been able to assess safety in humans, and there may be long-term effects from treatment that we cannot predict at this time.</w:t>
      </w:r>
    </w:p>
    <w:p>
      <w:pPr>
        <w:pStyle w:val="TextBody"/>
        <w:bidi w:val="0"/>
        <w:spacing w:before="0" w:after="0"/>
        <w:ind w:left="0" w:right="0" w:firstLine="648"/>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gene therapy is novel and the regulatory landscape that governs any product candidates we may develop is uncertain and may change, we cannot predict the time and cost of obtaining regulatory approval, if we receive it at all, for any product candidates we may develop.</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The regulatory requirements that will govern any novel gene therapy product candidates we develop are not entirely clear and may change. Within the broader genetic medicine field, a limited number of therapeutic products have received approval from the FDA or an MA from the MHRA and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which could impact the timing and cost of any regulatory approval. For example, in the United States, the FDA has established the Office of Therapeutic Products within its Center for Biologics Evaluation and Research, or CBER, to consolidate the review of gene therapy and related products, and the Cellular, Tissue and Gene Therapies Advisory Committee to advise CBER on its review. Gene therapy clinical trials may also be subject to review and oversight by an institutional biosafety committee and/or an institutional review board, or IRB, which are local institutional committees or boards, as applicable, that review, approve and oversee basic and clinical research conducted at the institution participating in the clinical trial.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48"/>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In the EU, the EMA’s Committee for Advanced Therapies, or CAT, is responsible for assessing the quality, safety, and efficacy of advanced therapy medicinal products, or ATMPs. ATMPs include gene therapy medicines, somatic-cell therapy medicines and tissue-engineered medicines. The role of the CAT is to prepare a draft opinion on an application for MA for a gene therapy medicinal candidate that is submitted to the EMA. In the EU, the development and evaluation of a gene therapy product must be considered in the context of the relevant EU guidelines. The EMA may issue new guidelines concerning the development and MA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pStyle w:val="TextBody"/>
        <w:bidi w:val="0"/>
        <w:spacing w:before="0" w:after="0"/>
        <w:ind w:left="0" w:right="0" w:firstLine="64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Post Brexit, marketing authorization applications, or MAAs, for ATMPs in the UK are regulated nationally and assessed in accordance with the general provisions in place for the licensing of medicines, taking the specific requirements for this group of medicines into account. Definitions for individual classes of ATMPs remain unchanged and classification of ATMPs are undertaken by the MHRA. Data, traceability, exemptions from licensing, packaging and post-authorization requirements remain in line with EU requirements transposed into UK law. However, if the EMA issues new guidance on ATMPs going forward, there is a risk of regulatory divergence with the MHRA and separate procedures and standards with which we may need to comply.</w:t>
      </w:r>
    </w:p>
    <w:p>
      <w:pPr>
        <w:pStyle w:val="TextBody"/>
        <w:bidi w:val="0"/>
        <w:spacing w:before="0" w:after="0"/>
        <w:ind w:left="0" w:right="0" w:firstLine="648"/>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Adverse developments in preclinical studies or clinical trials conducted by others in the field of gene therapy and gene regulation products may cause the FDA, MHRA and other regulatory bodies to revise the requirements for approval of any product candidates we may develop or limit the use of products utilizing gene regulation technologies, either of which could harm our business. In addition, the clinical trial requirements of the FDA, MHRA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treatments for diseases or conditions in which there may be limited clinical experience with novel endpoints and methodologies, there is heightened risk that the FDA, MHRA, EMA or other regulatory bodies may not consider the clinical trial endpoints we pursue to provide clinically meaningful results, and the resulting clinical data and results may be more difficult to analyze. The prospectively designed natural history studies with the same endpoints as our corresponding clinical trials may not be accepted by the FDA, MHRA,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pStyle w:val="TextBody"/>
        <w:bidi w:val="0"/>
        <w:spacing w:before="0" w:after="0"/>
        <w:ind w:left="0" w:right="0" w:firstLine="648"/>
        <w:jc w:val="left"/>
        <w:rPr/>
      </w:pPr>
      <w:r>
        <w:rPr/>
        <w:t>​</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pStyle w:val="TextBody"/>
        <w:bidi w:val="0"/>
        <w:spacing w:before="0" w:after="0"/>
        <w:ind w:left="0" w:right="0" w:firstLine="648"/>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trials are expensive, time-consuming, difficult to design and implement, and involve an uncertain outcome. Further, we may encounter substantial delays in our clinical trials.</w:t>
      </w:r>
    </w:p>
    <w:p>
      <w:pPr>
        <w:pStyle w:val="TextBody"/>
        <w:bidi w:val="0"/>
        <w:spacing w:before="0" w:after="0"/>
        <w:ind w:left="0" w:right="0" w:firstLine="648"/>
        <w:jc w:val="left"/>
        <w:rPr>
          <w:rFonts w:ascii="Times New Roman;Times;serif" w:hAnsi="Times New Roman;Times;serif"/>
          <w:sz w:val="20"/>
        </w:rPr>
      </w:pPr>
      <w:r>
        <w:rPr>
          <w:rFonts w:ascii="Times New Roman;Times;serif" w:hAnsi="Times New Roman;Times;serif"/>
          <w:sz w:val="20"/>
        </w:rPr>
        <w:t xml:space="preserve">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indications. Each product candidate must demonstrate an adequate risk versus benefit profile in its intended patient population and for its intended use.</w:t>
      </w:r>
    </w:p>
    <w:p>
      <w:pPr>
        <w:pStyle w:val="TextBody"/>
        <w:bidi w:val="0"/>
        <w:spacing w:before="0" w:after="240"/>
        <w:ind w:left="0" w:right="0" w:firstLine="648"/>
        <w:jc w:val="left"/>
        <w:rPr>
          <w:rFonts w:ascii="Times New Roman;Times;serif" w:hAnsi="Times New Roman;Times;serif"/>
          <w:sz w:val="20"/>
        </w:rPr>
      </w:pPr>
      <w:r>
        <w:rPr>
          <w:rFonts w:ascii="Times New Roman;Times;serif" w:hAnsi="Times New Roman;Times;serif"/>
          <w:sz w:val="20"/>
        </w:rPr>
        <w:t>Clinical testing is expensive,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Our future clinical trial results may not be successful.</w:t>
      </w:r>
    </w:p>
    <w:p>
      <w:pPr>
        <w:pStyle w:val="TextBody"/>
        <w:bidi w:val="0"/>
        <w:spacing w:before="0" w:after="240"/>
        <w:ind w:left="0" w:right="0" w:firstLine="648"/>
        <w:jc w:val="left"/>
        <w:rPr>
          <w:rFonts w:ascii="Times New Roman;Times;serif" w:hAnsi="Times New Roman;Times;serif"/>
          <w:sz w:val="20"/>
        </w:rPr>
      </w:pPr>
      <w:r>
        <w:rPr>
          <w:rFonts w:ascii="Times New Roman;Times;serif" w:hAnsi="Times New Roman;Times;serif"/>
          <w:sz w:val="20"/>
        </w:rPr>
        <w:t>In addition, even if such trials are successfully completed, we cannot guarantee that the FDA, MHRA, EMA or other regulatory authorities will interpret the results as we do, and more trials could be required before we submit our product candidates for approval. To the extent that the results of the trials are not satisfactory to the FDA, MHRA, EMA or other regulatory authorities for support of an MAA, we may be required to expend significant resources, which may not be available to us, to conduct additional trials in support of potential approval of our product candidates.</w:t>
      </w:r>
    </w:p>
    <w:p>
      <w:pPr>
        <w:pStyle w:val="TextBody"/>
        <w:bidi w:val="0"/>
        <w:spacing w:before="0" w:after="240"/>
        <w:ind w:left="0" w:right="0" w:firstLine="648"/>
        <w:jc w:val="left"/>
        <w:rPr>
          <w:rFonts w:ascii="Times New Roman;Times;serif" w:hAnsi="Times New Roman;Times;serif"/>
          <w:sz w:val="20"/>
        </w:rPr>
      </w:pPr>
      <w:r>
        <w:rPr>
          <w:rFonts w:ascii="Times New Roman;Times;serif" w:hAnsi="Times New Roman;Times;serif"/>
          <w:sz w:val="20"/>
        </w:rPr>
        <w:t>To date, we have not completed any clinical development programs required for the approval of any of our product candidates. Although we are currently conducting several clinical development programs, we may experience delays in conducting any clinical trials and we do not know whether our ongoing and future clinical trials will begin on time, need to be redesigned, be able to recruit and enroll patients on time or be completed on schedule, or at all. Events that may prevent successful or timely completion of clinical development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inability to generate sufficient preclinical, toxicology, or other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in vitro</w:t>
            </w:r>
            <w:r>
              <w:rPr>
                <w:caps w:val="false"/>
                <w:smallCaps w:val="false"/>
              </w:rPr>
              <w:t xml:space="preserve"> </w:t>
            </w:r>
            <w:r>
              <w:rPr>
                <w:rFonts w:ascii="Times New Roman;Times;serif" w:hAnsi="Times New Roman;Times;serif"/>
                <w:b w:val="false"/>
                <w:i w:val="false"/>
                <w:caps w:val="false"/>
                <w:smallCaps w:val="false"/>
                <w:sz w:val="20"/>
              </w:rPr>
              <w:t>data to support the initiation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sufficiently developing, characterizing or controlling a manufacturing process suitable for advanced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developing suitable assays for screening patients for eligibility for trials with respect to certain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consensus with the FDA, MHRA or other regulatory authorities as to the design or implementation of our clinical trials and obtaining regulatory allowance or approval to commence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reach an agreement on acceptable terms with clinical trial sites or prospective contract research organizations, or CROs, the terms of which can be subject to extensive negotiation and may vary significantly among different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and train clinical trial investigators with the appropriate competencies and experience to conduct the clinical trials, administer our product candidates and oversee clinical trial staff;</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obtaining IRB or ethics committee approval or positive opinion at each site;</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recruit suitable patients to participate in a clinical trial;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develop and validate any companion diagnostic we may decide to use in connection with a clinical trial, if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sufficiently developing, designing and manufacturing equipment or medical devices used to administer our product candidates in our clinical trials, if applicable;</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not completing a clinical trial or returning for post-treatment follow-up;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CROs, or other third parties deviating from trial protocol or dropping out of a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to conduct clinical trials in accordance with good clinical practice, or GCP, requirements, or other applicable regulatory guidelines;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patient safety concerns that arise during the course of a trial, including occurrence of adverse events associated with the product candidate;</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an insufficient number of clinical trial sites;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manufacture sufficient quantities of our product candidates for use in clinical trials, or to manufacture such product candidates to acceptable quality standards.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experience numerous unforeseen events during, or as a result of, clinical trials that could delay or prevent our ability to receive marketing approval or commercialize our product candidates or significantly increase the cost of such trials,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changes in regulatory requirements or guidance, or receive feedback from regulatory authorities that requires us to modify the design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our product candidates may produce negative or inconclusive results, and we may decide, or regulators may require us, to conduct additional clinical trials or abandon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contractors may fail to comply with regulatory requirements or meet their contractual obligations to us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our product candidates may be greater than we anticipate, and we may not have funds to cover the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or quality of our product candidates or other materials necessary to conduct clinical trials of our product candidates may be insufficient or inadequate;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a widespread health emergency, or natural disasters including earthquakes, typhoons, floods and fires, or from economic or political instability;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collaborators that conduct clinical trials may face any of the above issues, and they may conduct clinical trials in ways they view as advantageous to them but that are suboptimal for us.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tbl>
      <w:tblPr>
        <w:tblW w:w="2376" w:type="dxa"/>
        <w:jc w:val="left"/>
        <w:tblInd w:w="0" w:type="dxa"/>
        <w:tblLayout w:type="fixed"/>
        <w:tblCellMar>
          <w:top w:w="28" w:type="dxa"/>
          <w:left w:w="28" w:type="dxa"/>
          <w:bottom w:w="28" w:type="dxa"/>
          <w:right w:w="28" w:type="dxa"/>
        </w:tblCellMar>
      </w:tblPr>
      <w:tblGrid>
        <w:gridCol w:w="124"/>
        <w:gridCol w:w="25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unplanned costs;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in obtaining marketing approval for our product candidates or not obtain marketing approval at all;</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marketing approval in some countries and not in others;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marketing approval for indications or patient populations that are not as broad as intended or desired;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marketing approval with labeling that includes significant use or distribution restrictions or safety warnings, including boxed warnings;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subject to additional post-marketing testing requirements; or</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product removed from the market after obtaining marketing approval.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could encounter delays if a clinical trial is suspended or terminated by us, by the IRBs of the institutions in which such trials are being conducted, by the Data Safety Monitoring Board, or DSMB, for such trial or by the FDA, MHRA or other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MHRA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product candidates will require extensive clinical testing before we are prepared to submit a BLA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MHRA, EMA or other regulatory authorities on our clinical development program, and the FDA, MHRA, EMA or such regulatory authorities may not provide such feedback on a timely basis, or such feedback may not be favorable, which could further delay our development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 For example changes in the leadership of the FDA and other federal agencies under the current presidential administration or reductions in funding, operations, staffing and policies of the FDA and other federal agencies could impact our clinical development plans and timelines.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FDA’s and other regulatory authorities’ policies with respect to clinical trials may change and additional government regulations may be enacted. For instance, the regulatory landscape related to clinical trials in the EU has evolved over recent years. As of January 2025, clinical trials (and related applications) in the EU are now fully subject to the provisions of the EU Clinical Trials Regulation, or CTR, which allows sponsors to make a single submission to both the competent authority and an ethics committee in each member state, leading to a single decision per member state and provides for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Compliance with the CTR requirements by us and our third-party service providers, such as CROs, may impact our development plans. </w:t>
      </w:r>
    </w:p>
    <w:p>
      <w:pPr>
        <w:pStyle w:val="TextBody"/>
        <w:bidi w:val="0"/>
        <w:spacing w:before="0" w:after="0"/>
        <w:ind w:left="0" w:right="0" w:firstLine="648"/>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on April 28, 2025, the UK adopted amendments to the Medicines for Human Use (Clinical Trials) Regulations 2004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CTR. The amendment will became applicable on April 28, 2026, following a one-year transition period, and the MHRA published guidance to support stakeholders during the transition period and has published, and may continue to publish, further guidance regarding implementation of the amended framework.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also be impacted.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Pandemics, epidemics or outbreaks of an infectious disease have impacted and may in the future materially and adversely impact our business, including our preclinical studies, clinical trials, manufacturing capabilities and regulatory approvals.</w:t>
      </w:r>
    </w:p>
    <w:p>
      <w:pPr>
        <w:pStyle w:val="TextBody"/>
        <w:bidi w:val="0"/>
        <w:spacing w:before="0" w:after="0"/>
        <w:ind w:left="0" w:right="0" w:firstLine="648"/>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and may in the future experience disruptions from pandemics, epidemics or outbreaks of an infectious disease that could severely impact our business, preclinical studies, clinical trials and laboratory and manufacturing activities, including, for example,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interruption of key clinical trial activities due to limitations on travel imposed or recommended by regulatory authorities or others, interruption or delays in the operations of the FDA, MHRA, EMA or other regulatory authorities, interruption of, or delays in, the manufacturing of our product candidates, interruptions in preclinical studies due to restricted or limited operations at our laboratory facilities, limitations on employee resources that would otherwise be focused on the conduct of our preclinical studies and clinical trials, and interruption or delays to our sourced discovery and clinical activities. For example, as a result of the COVID-19 pandemic, we restricted onsite activities and also experienced some delays in enrolling, treating and monitoring patients in our clinical trials, as well as limited disruptions to our supply chain.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extent to which any future outbreaks or any variants of COVID-19 or another pandemic may impact our business, preclinical studies, clinical trials and laboratory and manufacturing activities will depend on future developments, which are highly uncertain and cannot be predicted with confidence, such as the duration of any pandemic, the timing, distribution and effectiveness of vaccines, vaccination rates, travel restrictions and physical distancing requirements in the countries where we do business, business closures or business disruptions, and the effectiveness of actions taken in the countries where we do business to contain and treat any such disease, respond to the reduction in global economic activity and resume normal economic and operating conditions. If we or any of the third parties with whom we engage experience prolonged shutdowns or other business disruptions, our ability to conduct our business in the manner and on the timelines presently planned could be materially and negatively impacted. Furthermore, the magnitude of the economic impact of any pandemic including sustained inflation, supply chain disruptions, and major central bank policy actions may result in significant disruption of global financial markets, which could materially affect our performance, financial condition, results of operations, and cash flows, as well as our ability to raise additional capital. Additionally, major central bank policy actions may have a negative impact on our payment obligations under the Notes Purchase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affected populations for our product candidates may be smaller than we or third parties currently project, which may affect the addressable markets for our product candidates.</w:t>
      </w:r>
    </w:p>
    <w:p>
      <w:pPr>
        <w:pStyle w:val="TextBody"/>
        <w:bidi w:val="0"/>
        <w:spacing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or supporting the information, in our SEC filings and other materials should be viewed with caution. Further, the data and statistical information included, or supporting the information, in our SEC filings and other materials, including estimates derived from them, may differ from information and estimates made by our competitors or from current or future studies conducted by independent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UK, the EU and elsewhere may turn out to be lower than expected or may not be otherwise amenable to treatment with our products, or new patients may become increasingly difficult to identify or access, all of which would harm our results of operations and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Negative public opinion of gene therapy and increased regulatory scrutiny of gene therapy and genetic research may adversely impact public perception of our current and future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potential therapeutic products involve introducing genetic material into patients’ cells.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 restrictive government regulations or negative public opinion would have a negative effect on our business or financial condition and may delay or impair the development and commercialization of our product candidates or demand for any products once approved. Additionally, adverse events in our clinical trials, even if not ultimately attributable to our product candidates, and the resulting publicity could result in increased governmental regulation, unfavorable public perception, potential regulatory delays in the testing or approval of our product candidates or the halting of clinical trials,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In addition, there is the potential risk of delayed adverse events following exposure to gene therapy products due to persistent biological activity of the genetic material or other components of products used to carry the genetic material. If any such adverse events occur, commercialization of our product candidates or further advancement of our clinical trials could be halted or delayed, which would have a negative impact on our business and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fail to maintain the benefits of certain regulatory designations that we have obtained for our product candidates, and may in the future seek and fail to obtain such designations for other of our current or potential future product candidates. Even if such designations are obtained, they may not lead to faster development or regulatory review or approval, and they do not increase the likelihood that our product candidates will receive marketing approval.</w:t>
      </w:r>
    </w:p>
    <w:p>
      <w:pPr>
        <w:pStyle w:val="TextBody"/>
        <w:bidi w:val="0"/>
        <w:spacing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sponsor may seek approval of its product candidate under programs designed to accelerate the FDA’s review and approval of drugs and biological products that meet certain criteria. For example, the FDA has a Fast Track designation program that is intended to expedite or facilitate the process for reviewing product candidates that meet certain criteria. Specifically, investigational drugs and biological products are eligible for Fast Track designation if they are intended to treat a serious condition and nonclinical or clinical data demonstrate the potential to address unmet medical needs.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once a BLA is submitted, the application may be eligible for priority review. In addition, the Fast Track product may be eligible for rolling review, where the FDA may consider for review sections of the BLA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Even if Fast Track designation is granted, it may be rescinded if the product no longer meets the qualifying criteria. In April 2018, bota-vec was issued Fast Track Designation by the FDA for the treatment of X-linked retinitis pigmentosa owing to defects in RPGR. In August 2018, AAV-CNGB3 was issued Fast Track designation by the FDA for the treatment of achromatopsia caused by CNGB3 mutations. In January 2021, AAV-CNGA3 was issued Fast Track designation by the FDA for the treatment of achromatopsia caused by CNGA3 mutations.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Similarly, the EMA has established the PRIME scheme to expedite the development and review of product candidates that show a potential to address to a significant extent an unmet medical need, based on early clinical data. In February 2018, AAV-CNGB3 for the treatment of achromatopsia associated with defects in CNGB3 was admitted to the PRIME scheme of the EMA. In February 2020, bota-vec for the treatment of X-linked retinitis pigmentosa owing to defects in RPGR was admitted to the PRIME scheme of the EMA.</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sponsor may also seek a Regenerative Medicine Advanced Therapy, or </w:t>
      </w:r>
      <w:r>
        <w:rPr>
          <w:rFonts w:ascii="Times New Roman;Times;serif" w:hAnsi="Times New Roman;Times;serif"/>
          <w:sz w:val="20"/>
          <w:shd w:fill="FFFFFF" w:val="clear"/>
        </w:rPr>
        <w:t>RMAT, designation </w:t>
      </w:r>
      <w:r>
        <w:rPr>
          <w:rFonts w:ascii="Times New Roman;Times;serif" w:hAnsi="Times New Roman;Times;serif"/>
          <w:sz w:val="20"/>
        </w:rPr>
        <w:t>for its product candidates. In 2017, the FDA established the RMAT designation as part of its implementation of the 21</w:t>
      </w:r>
      <w:r>
        <w:rPr>
          <w:rFonts w:ascii="Times New Roman;Times;serif" w:hAnsi="Times New Roman;Times;serif"/>
          <w:sz w:val="15"/>
        </w:rPr>
        <w:t>st</w:t>
      </w:r>
      <w:r>
        <w:rPr>
          <w:rFonts w:ascii="Times New Roman;Times;serif" w:hAnsi="Times New Roman;Times;serif"/>
          <w:sz w:val="20"/>
        </w:rPr>
        <w:t xml:space="preserve"> Century Cures Act. A biological product is eligible for RMAT designation if it qualifies as an RMAT, which is defined as a cell therapy, therapeutic tissue engineering product, human cell and tissue product, or any combination product using such therapies or products, with limited exceptions, and is intended to treat, modify, reverse, or cure a serious or life-threatening disease or condition and for which preliminary clinical evidence indicates that the biological product has the potential to address unmet medical needs for such a disease or condition. In a February 2019 guidance, the FDA also stated that certain gene therapies that lead to a sustained effect on cells or tissues may meet the definition of a regenerative medicine therapy. RMAT designation provides potential benefits that include more frequent meetings with the FDA to discuss the development plan for the product candidate, and eligibility for rolling review and priority review, provided the applicable criteria are met.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 world evidence (such as electronic health records); through the collection of larger confirmatory data sets; or via post-approval monitoring of all patients treated with such therapy prior to approval of the therapy. In December 2024, the FDA granted RMAT designation to AAV-hAQP1 for the treatment of grade 2 or 3 radiation-induced xerostomia, and in March 2026, the FDA granted Breakthrough Therapy Designation for the same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May 2025, the FDA granted RMAT designation to AAV-GAD for the treatment of Parkinson’s disease not adequately controlled with anti-Parkinsonian medications.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Such regulatory designations are within the discretion of the FDA, MHRA, EMA and other regulatory authorities. Accordingly, even if we believe one of our product candidates meets the criteria for such regulatory programs and we seek such designations, the FDA, MHRA, EMA or other applicable regulatory authority may disagree and instead determine not to make such designation for such product candidate. We cannot be sure that our evaluation of our product candidates as qualifying for such regulatory designations will meet the regulatory authority’s expectations. In any event, the receipt of such regulatory designations for a product candidate may not result in a faster development process, review, or approval compared to product candidates considered for approval under conventional regulatory procedures and does not assure ultimate approval by the regulatory authorities. In addition, even if additional product candidates are granted such regulatory designations, the regulatory authority may later decide that such product candidates no longer meet the conditions for qualification or decide that the time period for review or approval will not be shortened, as applicable.</w:t>
      </w:r>
    </w:p>
    <w:p>
      <w:pPr>
        <w:pStyle w:val="TextBody"/>
        <w:bidi w:val="0"/>
        <w:spacing w:before="0" w:after="0"/>
        <w:ind w:left="0" w:right="0" w:firstLine="648"/>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received orphan drug designation and orphan designation from the FDA and European Commission, respectively, for bota-vec, AAV-AIPL1, AAV-CNGB3, AAV-CNGA3, AAV-RPE65, AAV-RDH12 and orphan drug designation from the FDA for AAV-hAQP1 and AAV-BBS10, and we may seek orphan drug designation or orphan designation for additional product candidates in the future, but any orphan drug designations or orphan designations we have received or may receive in the future may not confer marketing exclusivity or other expected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Orphan Drug Act, the FDA may designate a product candidate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European Commission grants orphan designation on the basis of the EMA’s Committee for Orphan Medicinal Products opinion.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disease or condition for which it has orphan drug designation, the product is entitled to orphan drug exclusivity, which means the FDA may not approve any other application to market the same drug for the same approved use or condition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In the EU, orphan designation entitles a party to financial incentives such as reduction of fees or fee waivers, protocol assistance, and access to the centralized MA procedure. Moreover, upon grant of an MA and assuming the requirement for orphan designation are also met at the time the MA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or PIP. This period may be reduced to six years if, at the end of the fifth year, the orphan designation criteria are no longer met, including where it is shown that the product is sufficiently profitable not to justify maintenance of market exclusivity, or where the prevalence of the condition has increased above the orphan designation threshold. In the EU, an MA for an orphan designated product will not be granted if a similar product has been approved in the EU for the same therapeutic indication, unless the applicant can establish that (i) its product, although similar to the orphan medicinal product already authorized is safer, more effective or otherwise clinically superior; (ii) the MA holder for the orphan medicinal product grants its consent; or (iii) if the MA holder of the orphan medicinal product is unable to supply sufficient quantities of product. A similar medicine is a product containing a similar active substance or substances as those contained in an already authorized product. Similar active substance is defined as an identical active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substance, or an active substance with the same principal molecular structural features (but not necessarily all of the same molecular features) and which acts via the same mechanism.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pre-MA orphan designation in the UK. The MHRA reviews applications from companies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pStyle w:val="TextBody"/>
        <w:bidi w:val="0"/>
        <w:spacing w:before="0" w:after="0"/>
        <w:ind w:left="0" w:right="0" w:firstLine="648"/>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obtained orphan drug designation from the FDA and orphan designation from the European Commission for bota-vec for the treatment of X-linked retinitis pigmentosa associated with mutations in the RPGR gene, for AAV-AIPL1 for the treatment of inherited retinal dystrophy due to defects in AIPL1 gene, for AAV-CNGB3 for the treatment of achromatopsia caused by mutations in the </w:t>
      </w:r>
      <w:r>
        <w:rPr>
          <w:rFonts w:ascii="Times New Roman;Times;serif" w:hAnsi="Times New Roman;Times;serif"/>
          <w:i/>
          <w:sz w:val="20"/>
        </w:rPr>
        <w:t>CNGB3</w:t>
      </w:r>
      <w:r>
        <w:rPr>
          <w:rFonts w:ascii="Times New Roman;Times;serif" w:hAnsi="Times New Roman;Times;serif"/>
          <w:sz w:val="20"/>
        </w:rPr>
        <w:t xml:space="preserve"> gene, for AAV-CNGA3 for the treatment of achromatopsia due to autosomal-recessive </w:t>
      </w:r>
      <w:r>
        <w:rPr>
          <w:rFonts w:ascii="Times New Roman;Times;serif" w:hAnsi="Times New Roman;Times;serif"/>
          <w:i/>
          <w:sz w:val="20"/>
        </w:rPr>
        <w:t>CNGA3</w:t>
      </w:r>
      <w:r>
        <w:rPr>
          <w:rFonts w:ascii="Times New Roman;Times;serif" w:hAnsi="Times New Roman;Times;serif"/>
          <w:sz w:val="20"/>
        </w:rPr>
        <w:t xml:space="preserve"> gene mutations, for AAV-RPE65 for the treatment of Leber congenital amaurosis and for AAV-RDH12 for the treatment of retinol dehydrogenase 12 (RDH12) mutation-associated retinal dystrophy, and we obtained orphan drug designation from the FDA for AAV-hAQP1 for the treatment of grade 2 and grade 3 late xerostomia from parotid gland hypofunction caused by radiotherapy and for AAV-BBS10 for the treatment of Bardet-Biedel syndrome (BBS) due to </w:t>
      </w:r>
      <w:r>
        <w:rPr>
          <w:rFonts w:ascii="Times New Roman;Times;serif" w:hAnsi="Times New Roman;Times;serif"/>
          <w:i/>
          <w:sz w:val="20"/>
        </w:rPr>
        <w:t>BBS10</w:t>
      </w:r>
      <w:r>
        <w:rPr>
          <w:rFonts w:ascii="Times New Roman;Times;serif" w:hAnsi="Times New Roman;Times;serif"/>
          <w:sz w:val="20"/>
        </w:rPr>
        <w:t xml:space="preserve"> mutations. We may seek orphan drug designation and orphan designation for other current and future product candidates. Even with orphan drug designation and orphan designation, we may not be the first to obtain marketing approval for any particular orphan indication due to the uncertainties associated with developing pharmaceutical products, which could prevent us from marketing our product candidates if another company is able to obtain orphan drug exclusivity before we do. In addition, exclusive marketing rights in the United States and the EU may be unavailable if we seek approval for a disease or condition broader than the orphan drug-designated and orphan-designated disease or condition or may be lost in the United States or EU if the FDA or foreign authorities later determine that the request for designation was materially defective or if we are unable to assure sufficient quantities of the drug to meet the needs of patients with the rare disease or condition following approval. </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even if we obtain orphan drug exclusivity, that exclusivity may not effectively protect our product candidates from competition because different biologics with different active principal molecular structural features can be approved for the same disease or condition. In addition, the FDA can subsequently approve products with the same principal molecular structural features, in the case of a biologic, for the same use or indication if the FDA concludes that the later product is safer, more effective, makes a major contribution to patient care, or if the manufacturer of the product with orphan exclusivity is unable to maintain sufficient product quantity. Likewise, in the EU and UK, the European Commission or MHRA, respectively, can authorize a similar product for the same therapeutic indication, if it concludes that the later product is safer, more effective or clinically superior; if the MA holder for the initial orphan medicinal product grants its consent; or if such MA holder is unable to supply sufficient quantities of the product. Neither orphan drug designation nor orphan designation shortens the development time or regulatory review time of a drug nor gives the drug any advantage in the regulatory review or approval process. In addition, while we intend to seek orphan drug designation and orphan designation for other existing and future product candidates, we may never receive such designations. </w:t>
      </w:r>
    </w:p>
    <w:p>
      <w:pPr>
        <w:pStyle w:val="TextBody"/>
        <w:pBdr/>
        <w:shd w:fill="FFFFFF" w:val="clear"/>
        <w:bidi w:val="0"/>
        <w:spacing w:before="40" w:after="0"/>
        <w:ind w:left="0" w:right="0" w:hanging="0"/>
        <w:jc w:val="left"/>
        <w:rPr>
          <w:rFonts w:ascii="Times New Roman;Times;serif" w:hAnsi="Times New Roman;Times;serif"/>
          <w:b/>
          <w:i/>
          <w:sz w:val="20"/>
        </w:rPr>
      </w:pPr>
      <w:r>
        <w:rPr>
          <w:rFonts w:ascii="Times New Roman;Times;serif" w:hAnsi="Times New Roman;Times;serif"/>
          <w:b/>
          <w:i/>
          <w:sz w:val="20"/>
        </w:rPr>
        <w:t>The FDA has granted rare pediatric disease designation to a number of our gene therapy product candidates, however, there is no guarantee that FDA approval of any of these gene therapy candidates will result in a priority review voucher.</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2012, Congress authorized the FDA to award priority review vouchers to sponsors of certain rare pediatric disease drugs and biologics intended to treat certain orphan diseases affecting fewer than 200,000 patients in the U.S., the serious or life-threatening manifestations of which primarily affect individuals aged 18 years of age or younger, or affects more than 200,000 individuals in the U.S. and for which there is no reasonable expectation that the cost of developing and making available in the U.S. a drug for such disease or condition will be recovered from sales in the U.S. of such drug.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be eligible to receive a voucher that can be redeemed to receive a priority review of a subsequent marketing application for a different product. The sponsor of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rare pediatric disease drug product receiving a priority review voucher may transfer (including by sale) the voucher to another sponsor, and such priority review vouchers have recently sold for between $150 million to $200 million.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FDA has granted us rare pediatric disease designation for AAV-AIPL1 for the treatment of Leber congenital amaurosis (LCA4) retinal dystrophy, AAV-BBS10 for the treatment of BBS due to </w:t>
      </w:r>
      <w:r>
        <w:rPr>
          <w:rFonts w:ascii="Times New Roman;Times;serif" w:hAnsi="Times New Roman;Times;serif"/>
          <w:i/>
          <w:sz w:val="20"/>
        </w:rPr>
        <w:t>BBS10</w:t>
      </w:r>
      <w:r>
        <w:rPr>
          <w:rFonts w:ascii="Times New Roman;Times;serif" w:hAnsi="Times New Roman;Times;serif"/>
          <w:sz w:val="20"/>
        </w:rPr>
        <w:t xml:space="preserve"> mutations, AAV-RDH12 for the treatment of Leber congenital amaurosis (LCA) and early-onset severe retinal dystrophy (EOSRD), AAV8-RK-RetGC for the treatment of patients with Leber congenital amaurosis due to </w:t>
      </w:r>
      <w:r>
        <w:rPr>
          <w:rFonts w:ascii="Times New Roman;Times;serif" w:hAnsi="Times New Roman;Times;serif"/>
          <w:i/>
          <w:sz w:val="20"/>
        </w:rPr>
        <w:t>GUCY2D</w:t>
      </w:r>
      <w:r>
        <w:rPr>
          <w:rFonts w:ascii="Times New Roman;Times;serif" w:hAnsi="Times New Roman;Times;serif"/>
          <w:sz w:val="20"/>
        </w:rPr>
        <w:t xml:space="preserve"> mutations (LCA1), AAV-RPE65 for the treatment of inherited retinal dystrophy due to biallelic </w:t>
      </w:r>
      <w:r>
        <w:rPr>
          <w:rFonts w:ascii="Times New Roman;Times;serif" w:hAnsi="Times New Roman;Times;serif"/>
          <w:i/>
          <w:sz w:val="20"/>
        </w:rPr>
        <w:t>RPE65</w:t>
      </w:r>
      <w:r>
        <w:rPr>
          <w:rFonts w:ascii="Times New Roman;Times;serif" w:hAnsi="Times New Roman;Times;serif"/>
          <w:sz w:val="20"/>
        </w:rPr>
        <w:t xml:space="preserve"> mutations, AAV-CNGB3 for the treatment of achromatopsia caused by mutations in the </w:t>
      </w:r>
      <w:r>
        <w:rPr>
          <w:rFonts w:ascii="Times New Roman;Times;serif" w:hAnsi="Times New Roman;Times;serif"/>
          <w:i/>
          <w:sz w:val="20"/>
        </w:rPr>
        <w:t>CNGB3</w:t>
      </w:r>
      <w:r>
        <w:rPr>
          <w:rFonts w:ascii="Times New Roman;Times;serif" w:hAnsi="Times New Roman;Times;serif"/>
          <w:sz w:val="20"/>
        </w:rPr>
        <w:t xml:space="preserve"> gene and AAV-CNGA3 for the treatment of achromatopsia caused by mutations in the </w:t>
      </w:r>
      <w:r>
        <w:rPr>
          <w:rFonts w:ascii="Times New Roman;Times;serif" w:hAnsi="Times New Roman;Times;serif"/>
          <w:i/>
          <w:sz w:val="20"/>
        </w:rPr>
        <w:t>CNGA3</w:t>
      </w:r>
      <w:r>
        <w:rPr>
          <w:rFonts w:ascii="Times New Roman;Times;serif" w:hAnsi="Times New Roman;Times;serif"/>
          <w:sz w:val="20"/>
        </w:rPr>
        <w:t xml:space="preserve"> gene. There is no guarantee that we will be able to obtain a priority review voucher, even if one or more of these gene therapy product candidates is approved by the FDA. While the rare pediatric disease priority voucher program began to sunset on December 20, 2024, the Consolidated Appropriations Act of 2026 signed into law on February 3, 2026, extended the program through September 30, 2029. Therefore, the sponsor of the marketing application for a drug that receives rare pediatric disease designation will be eligible to receive a voucher if the FDA approves the product for use within the designated rare pediatric disease on or before September 30, 2029, unless Congress reauthorizes the program further.</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We and our contract manufacturers for plasmid are subject to significant regulation with respect to manufacturing our products. Our manufacturing facilities and the third-party manufacturing facilities which we rely on may not continue to meet regulatory requirements and have limited capacity.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relationships with a limited number of suppliers for the manufacturing of plasmid, a component of our viral vectors and product candidates. We also have GMP manufacturing facilities in London, United Kingdom and Shannon, Ireland, which we expect can supply our current clinical and preclinical programs, as well as any anticipated third party supply obligations, through regulatory approval and, should they be approved, provide sufficient capacity for their commercial production. However, if we experience slowdowns or problems with our facilities or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entities involved in the preparation of therapeutics for clinical trials or commercial sale, including our existing contract manufacturers for components of our product candidates, are subject to extensive regulation. Components of a finished therapeutic product approved for commercial sale or used in late-stage clinical trials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Generally, our facilities and quality systems and the facilities and quality systems of some or all of our third-party contractors must successfully complete a pre-approval inspection for compliance with the applicable regulations as a condition of regulatory approval of our product candidates or the product candidates that we manufacture for third parties. In addition, certain regulatory authorities may, at any time, audit or inspect a manufacturing facility involved with the preparation of our product candidates or the product candidates that we manufacture for third parties or the associated quality systems for compliance with the regulations applicable, if and when approved, to the activities being conducted. If these facilities do not successfully complete a pre-approval plant inspection, FDA, MHRA or other regulatory approval of the product candidates will not be granted.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MHRA or other regulatory authorities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Regulatory agencies may also require additional studies if a new manufacturer is relied upon for clinical or commercial production. Switching manufacturers may involve substantial costs and is likely to result in a delay in our desired clinical and commercial timelines.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contamination in our manufacturing process, shortages of raw materials or failure of our plasmid supplier to deliver necessary components, or other issues with the manufacturing process, could result in delays in our clinical development or marketing schedules.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Given the nature of biologics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In addition, our manufacturing process is complex, and the manufacturing batch cycle period can be several weeks long. Each batch cycle may not yield planned quantities or meet the required standards. A material shortage, contamination, recall or restriction on the use of biologically derived substances in the manufacture of our product candidates, failure of manufacturing equipment or systems or other issues with our manufacturing process, could adversely impact or disrupt the commercial manufacturing or the production of clinical material, which could adversely affect our development timelines and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Expanding our manufacturing capacity has and will continue to be costly and we may be unsuccessful in doing so in a timely manner, which could delay our current and future clinical development programs, or delay the commercialization of our product candidates.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our existing manufacturing facilities in London, United Kingdom and Shannon, Ireland, we may lease, operate, purchase, or construct additional facilities to supply our clinical and preclinical programs, as well as to meet any anticipated third party supply obligations, or conduct expanded manufacturing or other related activities in the future. Expanding our manufacturing capacity to produce the preclinical, clinical and commercial supply of our products and their components has required and will continue to require substantial additional expenditures, time, and various regulatory approvals and permits, as well as hiring, training and retraining employees and managerial personnel to staff our manufacturing and supply chain operations. Start-up costs can be large and may exceed our expectations,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for use in clinical trials and, should they be approved, to supply the commercial market at reasonable costs and in compliance with applicable regulatory requirements. We may not successfully expand, establish or sustain sufficient manufacturing capabilities or manufacture our products economically or in compliance with GMP and other regulatory requirements, and we and our collaborators may not be able to build or procure additional capacity in the required timeframe to meet the requirements of our clinical programs or to meet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potential commercial demand for our product candidates. This could also delay or require us to discontinue one or more of our clinical development programs or could interfere with our efforts to successfully commercialize our products. As a result, our business, prospects, operating results, and financial condition could be materially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encounter difficulties enrolling patients in our clinical trials, our clinical development activities could be delayed or otherwise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who remain in the study until its conclusion. We may encounter delays in enrolling, or be unable to enroll, a sufficient number of patients to complete any of our clinical trials, and even once enrolled we may be unable to retain a sufficient number of patients to complete any of our trials. This may result in increased costs, program delays or both, which could have a harmful effect on our ability to develop our product candidates, or could render further development impossible. The enrollment of patients depends on many factors, including:</w:t>
      </w:r>
    </w:p>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patient population;</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patient population required for analysis of the trial’s primary endpoints;</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study sites;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trial or side effects that may arise in development;</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therapies, including any new products that may be approved for the indications we are investigating;</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patient consents;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widespread health emergencies, or natural disasters including earthquakes, typhoons, floods and fires, or from economic or political instability.</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other clinical trials for product candidates that are in the same therapeutic areas as our product candidates or approved products for the same clinical indications (such as Luxturna marketed by Spark Therapeutics, Inc. for the treatment of RPE65-associated retinal disease) may reduce the number and type of patients available to us. Furthermore, although we have conducted and may in the future conduct natural history studies to better characterize the patient populations we seek to address, any natural history studies we may undertake could fail to provide us with patients for our clinical trials, because patients enrolled in the natural history studies may not be good candidates for our clinical trials or may choose to not enroll in our clinical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product candidates may cause serious adverse events or undesirable side effects or have other properties which may delay or prevent their regulatory approval, limit the commercial profile of an approved label, or, result in significant negative consequences following marketing approval, if any.</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Serious adverse events or undesirable side effects caused by our product candidates could cause us or regulatory authorities to interrupt, delay or halt clinical trials and could result in a more restrictive label or the delay or denial of regulatory approval by the FDA, MHRA or other authorities. Results of our clinical trials could reveal a high and unacceptable severity and prevalence of side effects, toxicities or unexpected characteristics, including death. A risk in any gene therapy product based on viral vectors is the risk of insertional mutagenesis.</w:t>
      </w:r>
    </w:p>
    <w:p>
      <w:pPr>
        <w:pStyle w:val="TextBody"/>
        <w:bidi w:val="0"/>
        <w:spacing w:before="0" w:after="0"/>
        <w:ind w:left="0" w:right="0" w:firstLine="648"/>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unacceptable side effects or deaths arise in the development of our product candidates, we, the FDA, the IRBs at the institutions in which our studies are conducted, the DSMB, or other regulatory bodies could suspend or terminate our clinical trials or the FDA, MHRA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before="0" w:after="0"/>
        <w:ind w:left="0" w:right="0" w:firstLine="64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pStyle w:val="TextBody"/>
        <w:bidi w:val="0"/>
        <w:spacing w:before="0" w:after="0"/>
        <w:ind w:left="0" w:right="0" w:firstLine="648"/>
        <w:jc w:val="left"/>
        <w:rPr/>
      </w:pPr>
      <w:r>
        <w:rPr/>
        <w:t>​</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bl>
    <w:p>
      <w:pPr>
        <w:pStyle w:val="TextBody"/>
        <w:bidi w:val="0"/>
        <w:spacing w:before="0" w:after="0"/>
        <w:ind w:left="0" w:right="0" w:hanging="0"/>
        <w:jc w:val="left"/>
        <w:rPr/>
      </w:pPr>
      <w:r>
        <w:rPr/>
        <w:t>​</w:t>
      </w:r>
    </w:p>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recall a product or change the way such product is administered to patients;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the particular product or the manufacturing processes for the product;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contraindication;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a Risk Evaluation and Mitigation Strategy, or REMS, or create a medication guide outlining the risks of such side effects for distribution to patients or similar risk management measures;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could become less competitive;</w:t>
            </w:r>
          </w:p>
        </w:tc>
      </w:tr>
    </w:tbl>
    <w:p>
      <w:pPr>
        <w:pStyle w:val="TextBody"/>
        <w:bidi w:val="0"/>
        <w:spacing w:before="0" w:after="0"/>
        <w:ind w:left="0" w:right="0" w:hanging="0"/>
        <w:jc w:val="left"/>
        <w:rPr/>
      </w:pPr>
      <w:r>
        <w:rPr/>
        <w:t>​</w:t>
      </w:r>
    </w:p>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and</w:t>
            </w:r>
          </w:p>
        </w:tc>
      </w:tr>
    </w:tbl>
    <w:p>
      <w:pPr>
        <w:pStyle w:val="TextBody"/>
        <w:bidi w:val="0"/>
        <w:spacing w:before="0" w:after="0"/>
        <w:ind w:left="0" w:right="0" w:hanging="0"/>
        <w:jc w:val="left"/>
        <w:rPr/>
      </w:pPr>
      <w:r>
        <w:rPr/>
        <w:t>​</w:t>
      </w:r>
    </w:p>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Success in preclinical studies or clinical trials may not be indicative of results in future clinical trials.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Results from previous preclinical studies or clinical trials are not necessarily predictive of future clinical trial results, and interim results of a clinical trial are not necessarily indicative of final results. Our product candidates may fail to show the desired safety and efficacy in clinical development despite positive results in preclinical studies or having successfully advanced through initial clinical trials.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Success in preclinical testing and early clinical trials does not ensure that later clinical trials will generate the same results or otherwise provide adequate data to demonstrate the efficacy and safety of a product candidate.</w:t>
      </w:r>
    </w:p>
    <w:p>
      <w:pPr>
        <w:pStyle w:val="TextBody"/>
        <w:bidi w:val="0"/>
        <w:spacing w:before="0" w:after="0"/>
        <w:ind w:left="60" w:right="59" w:firstLine="583"/>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Data obtained from preclinical and clinical activities are subject to varying interpretations, which may delay, limit or prevent regulatory approval, which could negatively impact our business, financial condition, results of operations and prospects.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regulatory approval processes of the FDA, MHRA, competent authorities in the EU and other regulatory authorities are lengthy, time consuming and inherently unpredictable, and if we are ultimately unable to obtain regulatory approval for our product candidates, our business will be substantially harmed.</w:t>
      </w:r>
    </w:p>
    <w:p>
      <w:pPr>
        <w:pStyle w:val="TextBody"/>
        <w:bidi w:val="0"/>
        <w:spacing w:before="0" w:after="0"/>
        <w:ind w:left="60" w:right="159"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time required to obtain approval by the FDA, MHRA, European Commission and other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pharmaceutical legislation in the EU has undergone a comprehensive reform as part of the European Commission’s Pharmaceutical Strategy for Europe initiative launched in November 2020. Following the European Commission’s publication of proposed revisions to the EU pharmaceutical framework on April 26, 2023, the European Parliament and the Council of the European Union reached political agreement on a legislative overhaul in December 2025, which overhaul remains subject to the finalization of legislative texts, implementing acts, and delegated legislation, with a multi-year transition period during which EU member states will align national laws and regulatory authorities will issue guidance. The adopted reforms include, among other things, changes to regulatory data protection and market exclusivity periods, revised eligibility criteria for expedited and incentive-based regulatory pathways, new access and supply-related obligations, and modifications to regulatory review procedures. While the full impact of the reforms will depend on final implementing measures and their application by EU and member state authorities, the revised framework could materially affect the development, regulatory approval, exclusivity, commercialization strategy, and profitability of medicinal products in the EU, and may have a significant impact on the pharmaceutical industry and our business in the long term.</w:t>
      </w:r>
    </w:p>
    <w:p>
      <w:pPr>
        <w:pStyle w:val="TextBody"/>
        <w:bidi w:val="0"/>
        <w:spacing w:before="0" w:after="0"/>
        <w:ind w:left="60" w:right="59" w:firstLine="583"/>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not obtained regulatory approval for any product candidate and it is possible that none of our product candidates in clinical programs or any other product candidates we may seek to develop in the future will ever obtain regulatory approval. Neither we nor any future collaborator is permitted to market any of our product candidates in the United States, the UK or the EU until we receive regulatory approval of a BLA from the FDA or of an MAA from the MHRA or European Commission, respectively. It is possible that the FDA may refuse to accept for substantive review any BLAs, or the MHRA or EMA any of our MAAs, that we submit for our product candidates or may conclude after review of our data that our application is insufficient to obtain marketing approval of our product candidates.</w:t>
      </w:r>
    </w:p>
    <w:p>
      <w:pPr>
        <w:pStyle w:val="TextBody"/>
        <w:bidi w:val="0"/>
        <w:spacing w:before="0" w:after="0"/>
        <w:ind w:left="60" w:right="59" w:firstLine="583"/>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Prior to obtaining approval to commercialize a product candidate in the United States, the UK, the EU or elsewhere, we or our collaborators must demonstrate with substantial evidence from well-controlled clinical trials, and to the satisfaction of the FDA, MHRA, EMA or other foreign regulatory agencies, that such product candidates are safe and effective for their intended uses, or with respect to biologics in the United States, that such product candidates are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MHRA, European Commission or other regulatory authorities. The FDA, MHRA or EMA may also require us to conduct additional preclinical studies or clinical trials for our product candidates either prior to or post-approval, or it may object to elements of our clinical development program. Depending on the extent of these or any other FDA, MHRA or EMA required studies, approval of any regulatory approval applications that we submit may be delayed by several years, or may require us to expend significantly more resources than we have available.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Of the large number of potential products in development, only a small percentage successfully complete the FDA, MHRA, or other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lineRule="atLeast" w:line="157"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obtain FDA, MHRA or European Commission approval for our product candidates in the United States, UK or EU, we may never obtain approval for or commercialize them in any other jurisdiction, which would limit our ability to realize their full market potential.</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order to market any products in any particular jurisdiction, we must establish and comply with numerous and varying regulatory requirements on a country-by-country basis regarding safety and efficacy. Approval by the FDA in the United States, the MHRA in the UK or the competent authorities in the EU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pStyle w:val="TextBody"/>
        <w:bidi w:val="0"/>
        <w:spacing w:before="0" w:after="0"/>
        <w:ind w:left="60" w:right="59" w:firstLine="583"/>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receive regulatory approval of one or more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MHRA and other regulatory authorities. These requirements include submissions of safety and other post-marketing information and reports, establishment registration and drug listing requirements, continued compliance with GMP and similar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FDA, MHRA and other regulatory authorities closely regulate the post-approval marketing and promotion of genetic therapy medicines to ensure they are marketed only for the approved indications and in accordance with the provisions of the approved labeling. The FDA, MHRA and other regulatory authorities impose stringent restrictions on manufacturers’ communications regarding off-label use and if we market our products for uses beyond their approved indications, we may be subject to enforcement action for off-label marketing. Violations of the U.S. federal Food, Drug, and Cosmetic Act, or FDCA, relating to the promotion of prescription drugs may lead to FDA enforcement actions and investigations alleging violations of federal and state healthcare fraud and abuse laws, as well as state consumer protection laws. Similar risks apply in foreign jurisdictions.</w:t>
      </w:r>
    </w:p>
    <w:p>
      <w:pPr>
        <w:pStyle w:val="TextBody"/>
        <w:bidi w:val="0"/>
        <w:spacing w:before="0" w:after="0"/>
        <w:ind w:left="0" w:right="0" w:firstLine="64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later discovery of previously unknown adverse events or other problems with our products, manufacturers or manufacturing processes, including adverse events of unanticipated severity or frequency, or with our manufacturing processes or third-party manufacturers, or failure to comply with regulatory requirements, may yield various results, including:</w:t>
      </w:r>
    </w:p>
    <w:p>
      <w:pPr>
        <w:pStyle w:val="TextBody"/>
        <w:bidi w:val="0"/>
        <w:spacing w:lineRule="atLeast" w:line="187" w:before="0" w:after="0"/>
        <w:ind w:left="0" w:right="0" w:hanging="0"/>
        <w:jc w:val="both"/>
        <w:rPr/>
      </w:pPr>
      <w:r>
        <w:rPr/>
        <w:t>​</w:t>
      </w:r>
    </w:p>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manufacturing such products;</w:t>
            </w:r>
          </w:p>
        </w:tc>
      </w:tr>
    </w:tbl>
    <w:p>
      <w:pPr>
        <w:pStyle w:val="TextBody"/>
        <w:bidi w:val="0"/>
        <w:spacing w:lineRule="atLeast" w:line="225" w:before="0" w:after="0"/>
        <w:ind w:left="0" w:right="0" w:hanging="0"/>
        <w:jc w:val="both"/>
        <w:rPr/>
      </w:pPr>
      <w:r>
        <w:rPr/>
        <w:t>​</w:t>
      </w:r>
    </w:p>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a product;</w:t>
            </w:r>
          </w:p>
        </w:tc>
      </w:tr>
    </w:tbl>
    <w:p>
      <w:pPr>
        <w:pStyle w:val="TextBody"/>
        <w:bidi w:val="0"/>
        <w:spacing w:lineRule="atLeast" w:line="225" w:before="0" w:after="0"/>
        <w:ind w:left="0" w:right="0" w:hanging="0"/>
        <w:jc w:val="left"/>
        <w:rPr/>
      </w:pPr>
      <w:r>
        <w:rPr/>
        <w:t>​</w:t>
      </w:r>
    </w:p>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distribution or use;</w:t>
            </w:r>
          </w:p>
        </w:tc>
      </w:tr>
    </w:tbl>
    <w:p>
      <w:pPr>
        <w:pStyle w:val="TextBody"/>
        <w:bidi w:val="0"/>
        <w:spacing w:before="0" w:after="0"/>
        <w:ind w:left="0" w:right="0" w:hanging="0"/>
        <w:jc w:val="left"/>
        <w:rPr/>
      </w:pPr>
      <w:r>
        <w:rPr/>
        <w:t>​</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p>
      <w:pPr>
        <w:pStyle w:val="TextBody"/>
        <w:bidi w:val="0"/>
        <w:spacing w:lineRule="atLeast" w:line="225" w:before="0" w:after="0"/>
        <w:ind w:left="0" w:right="0" w:hanging="0"/>
        <w:jc w:val="left"/>
        <w:rPr/>
      </w:pPr>
      <w:r>
        <w:rPr/>
        <w:t>​</w:t>
      </w:r>
    </w:p>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holds on clinical trials;</w:t>
            </w:r>
          </w:p>
        </w:tc>
      </w:tr>
    </w:tbl>
    <w:p>
      <w:pPr>
        <w:pStyle w:val="TextBody"/>
        <w:bidi w:val="0"/>
        <w:spacing w:lineRule="atLeast" w:line="225" w:before="0" w:after="0"/>
        <w:ind w:left="0" w:right="0" w:hanging="0"/>
        <w:jc w:val="left"/>
        <w:rPr/>
      </w:pPr>
      <w:r>
        <w:rPr/>
        <w:t>​</w:t>
      </w:r>
    </w:p>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products from the market;</w:t>
            </w:r>
          </w:p>
        </w:tc>
      </w:tr>
    </w:tbl>
    <w:p>
      <w:pPr>
        <w:pStyle w:val="TextBody"/>
        <w:bidi w:val="0"/>
        <w:spacing w:lineRule="atLeast" w:line="225" w:before="0" w:after="0"/>
        <w:ind w:left="0" w:right="0" w:hanging="0"/>
        <w:jc w:val="left"/>
        <w:rPr/>
      </w:pPr>
      <w:r>
        <w:rPr/>
        <w:t>​</w:t>
      </w:r>
    </w:p>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p>
      <w:pPr>
        <w:pStyle w:val="TextBody"/>
        <w:bidi w:val="0"/>
        <w:spacing w:lineRule="atLeast" w:line="236" w:before="0" w:after="0"/>
        <w:ind w:left="0" w:right="0" w:hanging="0"/>
        <w:jc w:val="left"/>
        <w:rPr/>
      </w:pPr>
      <w:r>
        <w:rPr/>
        <w:t>​</w:t>
      </w:r>
    </w:p>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products;</w:t>
            </w:r>
          </w:p>
        </w:tc>
      </w:tr>
    </w:tbl>
    <w:p>
      <w:pPr>
        <w:pStyle w:val="TextBody"/>
        <w:bidi w:val="0"/>
        <w:spacing w:before="0" w:after="0"/>
        <w:ind w:left="0" w:right="0" w:hanging="0"/>
        <w:jc w:val="left"/>
        <w:rPr/>
      </w:pPr>
      <w:r>
        <w:rPr/>
        <w:t>​</w:t>
      </w:r>
    </w:p>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p>
      <w:pPr>
        <w:pStyle w:val="TextBody"/>
        <w:bidi w:val="0"/>
        <w:spacing w:lineRule="atLeast" w:line="225" w:before="0" w:after="0"/>
        <w:ind w:left="0" w:right="0" w:hanging="0"/>
        <w:jc w:val="left"/>
        <w:rPr/>
      </w:pPr>
      <w:r>
        <w:rPr/>
        <w:t>​</w:t>
      </w:r>
    </w:p>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p>
      <w:pPr>
        <w:pStyle w:val="TextBody"/>
        <w:bidi w:val="0"/>
        <w:spacing w:lineRule="atLeast" w:line="225" w:before="0" w:after="0"/>
        <w:ind w:left="0" w:right="0" w:hanging="0"/>
        <w:jc w:val="left"/>
        <w:rPr/>
      </w:pPr>
      <w:r>
        <w:rPr/>
        <w:t>​</w:t>
      </w:r>
    </w:p>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products;</w:t>
            </w:r>
          </w:p>
        </w:tc>
      </w:tr>
    </w:tbl>
    <w:p>
      <w:pPr>
        <w:pStyle w:val="TextBody"/>
        <w:bidi w:val="0"/>
        <w:spacing w:lineRule="atLeast" w:line="225" w:before="0" w:after="0"/>
        <w:ind w:left="0" w:right="0" w:hanging="0"/>
        <w:jc w:val="left"/>
        <w:rPr/>
      </w:pPr>
      <w:r>
        <w:rPr/>
        <w:t>​</w:t>
      </w:r>
    </w:p>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w:t>
            </w:r>
          </w:p>
        </w:tc>
      </w:tr>
    </w:tbl>
    <w:p>
      <w:pPr>
        <w:pStyle w:val="TextBody"/>
        <w:bidi w:val="0"/>
        <w:spacing w:lineRule="atLeast" w:line="225" w:before="0" w:after="0"/>
        <w:ind w:left="0" w:right="0" w:hanging="0"/>
        <w:jc w:val="left"/>
        <w:rPr/>
      </w:pPr>
      <w:r>
        <w:rPr/>
        <w:t>​</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FDA’s and foreign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in other countries. If we are slow or unable to adapt to changes in existing requirements or the adoption of new requirements or policies, or if we are not able to maintain regulatory compliance, we may be subject to enforcement action, which would adversely affect our business, prospects and ability to achieve or sustain profitability.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study or trial. We also make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also disclose interim data from our clinical trials. Interim data from these trials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our competitors could result in volatility in the price of our ordinary shares.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199" w:hanging="0"/>
        <w:jc w:val="left"/>
        <w:rPr>
          <w:rFonts w:ascii="Times New Roman;Times;serif" w:hAnsi="Times New Roman;Times;serif"/>
          <w:b/>
          <w:i/>
          <w:sz w:val="20"/>
        </w:rPr>
      </w:pPr>
      <w:r>
        <w:rPr>
          <w:rFonts w:ascii="Times New Roman;Times;serif" w:hAnsi="Times New Roman;Times;serif"/>
          <w:b/>
          <w:i/>
          <w:sz w:val="20"/>
        </w:rPr>
        <w:t>Changes in funding for, or disruptions caused by global health concerns impacting, the FDA and other government or regulatory agencies could hinder their ability to hire and retain key leadership and other personnel, or otherwise prevent new products and services from being developed, approved or commercialized in a timely manner, which could negatively impact our business.</w:t>
      </w:r>
    </w:p>
    <w:p>
      <w:pPr>
        <w:pStyle w:val="TextBody"/>
        <w:bidi w:val="0"/>
        <w:spacing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ability of the FDA and foreign regulatory authorities to review and approve new products can be affected by a variety of factors, including government budget and funding levels, disruptions caused by global health concerns, ability to hire and retain key personnel, including those with experience relating to novel gene therapy product candidates, acceptance of the payment of user fees, statutory, regulatory, and policy changes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Disruptions at the FDA and other government or regulatory agencies such as the EMA may also slow the time necessary for new product candidates to be reviewed and/or approved, which would adversely affect our business. For example, the U.S. government was shut down at various times during 2025 and 2026 due to Congress not having passed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appropriations bills to fund government activity, and certain regulatory agencies, such as the FDA, have had to furlough critical FDA employees and stop critical activities. Prolonged government shutdowns could significantly impact the ability of the FDA to timely review and process our regulatory submissions, which could have a material adverse effect on our business. In addition, the current presidential administration has laid off thousands of federal health workers, including at the FDA, and the leadership of CBER changed multiple times since the beginning of 2025, which may delay review times for approval of our product candidates and impact our ability to correspond with the FDA regarding the development of our programs in a timely fashion.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Healthcare Laws and Other Legal Compliance Matters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Enacted and future healthcare legislation may increase the difficulty and cost for us to obtain marketing approval of and commercialize our product candidates and may affect the prices we may set.</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United States, the UK,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methodology by which rebates owed by manufacturers under the Medicaid Drug Rebate Program are calculated for drugs that are inhaled, infused, instilled, implanted or injected;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licensure framework for follow on biologic products;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Patient-Centered Outcomes Research Institute to oversee, identify priorities in, and conduct comparative clinical effectiveness research, along with funding for such research;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a Center for Medicare &amp; Medicaid Innovation at the Centers for Medicare &amp; Medicaid Services, or CMS, to test innovative payment and service delivery models to lower Medicare and Medicaid spending, potentially including prescription drug spending.</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Since its enactment, there have been judicial, Congressional and executive branch challenges to certain aspects of the ACA. On June 17, 2021, the U.S. Supreme Court dismissed the most recent judicial challenge to the Patient Protection and Affordable Care Act, or the ACA, brought by several states without specifically ruling on the constitutionality of the ACA.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legislative changes have been proposed and adopted in the United States since the ACA was enacted, including aggregate reductions of Medicare payments to providers, which was temporarily suspended from May 1, 2020 through March 31, 2022, and reduced payments to several types of Medicare providers. In March 2021, the American Rescue Plan Act of 2021 was signed into law, which eliminated the statutory cap on drug manufacturers’ Medicaid drug rebate liability for single source and innovator multiple source drugs, beginning January 1, 2024. The rebate was previously capped at 100% of a drug’s average manufacturer price.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August 2022, the Inflation Reduction Act, or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U.S. Department of Health and Human Services, or HHS, to implement many of these provisions through guidance, as opposed to regulation, for the initial years. CMS has published the negotiated prices for the initial ten drugs, which went into effect in 2026, and the list of the subsequent 15 drugs, which will first be effective in 2027, as well as the next set of 15 drugs that will be subject to negotiation, although the Medicare drug price negotiation program is currently subject to legal challenges. While the impact of the IRA on the pharmaceutical industry cannot yet be fully determined, it is likely to be significant. For that and other reasons, it is currently unclear how the IRA will be effectuated. These new laws or any other similar laws introduced in the future may result in additional reductions in Medicare and other healthcare funding, which could negatively affect our customers and accordingly, our financial operations.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on July 4, 2025,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declines to extend the ACA enhanced advanced premium tax credits that expired at the end of 2025, which, among other provisions in the law, are anticipated to reduce the number of Americans with health insurance.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Payment methodologies may also be subject to changes in healthcare legislation and regulatory initiatives. For example, CMS may develop new payment and delivery models, such as bundled payment models.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w:t>
      </w:r>
    </w:p>
    <w:p>
      <w:pPr>
        <w:pStyle w:val="TextBody"/>
        <w:bidi w:val="0"/>
        <w:spacing w:lineRule="atLeast" w:line="22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UK and EU, similar political, economic and regulatory developments may affect our ability to profitably commercialize our product candidates, if approved. In addition to continuing pressure on prices and cost containment measures, legislative developments at the UK or the EU or member state level may result in significant additional requirements or obstacles that may increase our operating costs. The delivery of healthcare in the UK and the EU, including the establishment and operation of health services and the pricing and reimbursement of medicines, is almost exclusively a matter for national law and policy. National governments and health service providers have different priorities and approaches to the delivery of healthcare and the pricing and reimbursement of products in that context. In general, however, the healthcare budgetary constraints in the UK and in most EU member states have resulted in restrictions on the pricing and reimbursement of medicines by relevant health service providers. Coupled with ever-increasing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13, 2021, Regulation No 2021/2282 on Health Technology Assessment, or HTA, amending Directive 2011/24/EU, was adopted in the EU.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ind w:left="60" w:right="59" w:firstLine="583"/>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markets outside of the United States, the UK and the EU, reimbursement and healthcare payment systems vary significantly by country, and many countries have instituted price ceilings on specific products and therapies.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in the United States, the UK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lineRule="atLeast" w:line="184"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operations and current and future arrangements with investigators, healthcare professionals, consultants, third-party payors, patient organizations and customers, may expose us to broadly applicable fraud and abuse laws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pStyle w:val="TextBody"/>
        <w:bidi w:val="0"/>
        <w:spacing w:before="0" w:after="0"/>
        <w:ind w:left="0" w:right="79" w:hanging="0"/>
        <w:jc w:val="left"/>
        <w:rPr/>
      </w:pPr>
      <w:r>
        <w:rPr/>
        <w:t>​</w:t>
      </w:r>
    </w:p>
    <w:p>
      <w:pPr>
        <w:pStyle w:val="TextBody"/>
        <w:bidi w:val="0"/>
        <w:ind w:left="1051" w:right="72" w:hanging="0"/>
        <w:jc w:val="left"/>
        <w:rPr/>
      </w:pPr>
      <w:r>
        <w:rPr/>
        <w:t>●</w:t>
      </w:r>
      <w:r>
        <w:rPr>
          <w:rFonts w:ascii="Times New Roman;Times;serif" w:hAnsi="Times New Roman;Times;serif"/>
          <w:sz w:val="20"/>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pStyle w:val="TextBody"/>
        <w:bidi w:val="0"/>
        <w:spacing w:before="0" w:after="0"/>
        <w:ind w:left="1380" w:right="7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civil and criminal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Health Insurance Portability and Accountability Act of 1996, or HIPAA, which created additional federal criminal statutes which prohibit,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FDCA, which prohibits, among other things, the adulteration or misbranding of drugs, biologics and medical devices;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Public Health Service Act, which prohibits, among other things, the introduction into interstate commerce of a biological product unless a biologics license is in effect for that product;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consumer protection and unfair competition laws, which broadly regulate marketplace activities and activities that potentially harm consumers;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1051" w:right="72" w:hanging="0"/>
        <w:jc w:val="left"/>
        <w:rPr/>
      </w:pPr>
      <w:r>
        <w:rPr/>
        <w:t>●</w:t>
      </w:r>
      <w:r>
        <w:rPr>
          <w:rFonts w:ascii="Times New Roman;Times;serif" w:hAnsi="Times New Roman;Times;serif"/>
          <w:sz w:val="20"/>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healthcare laws and regulations in the UK, EU and other jurisdictions, including reporting requirements detailing interactions with and payments to healthcare providers.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left"/>
        <w:rPr/>
      </w:pPr>
      <w:r>
        <w:rPr/>
        <w:t>​</w:t>
      </w:r>
    </w:p>
    <w:p>
      <w:pPr>
        <w:pStyle w:val="TextBody"/>
        <w:bidi w:val="0"/>
        <w:spacing w:before="0" w:after="0"/>
        <w:ind w:left="0" w:right="59" w:firstLine="720"/>
        <w:jc w:val="left"/>
        <w:rPr>
          <w:rFonts w:ascii="Times New Roman;Times;serif" w:hAnsi="Times New Roman;Times;serif"/>
          <w:sz w:val="20"/>
        </w:rPr>
      </w:pPr>
      <w:r>
        <w:rPr>
          <w:rFonts w:ascii="Times New Roman;Times;serif" w:hAnsi="Times New Roman;Times;serif"/>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subject to regulation and other legal obligations relating to data privacy and protection. Compliance with these requirements is complex and costly. The actual or perceived failure to comply with such obligations could materially harm our business.</w:t>
      </w:r>
    </w:p>
    <w:p>
      <w:pPr>
        <w:pStyle w:val="TextBody"/>
        <w:bidi w:val="0"/>
        <w:spacing w:before="0" w:after="0"/>
        <w:ind w:left="0" w:right="0" w:hanging="0"/>
        <w:jc w:val="both"/>
        <w:rPr/>
      </w:pPr>
      <w:r>
        <w:rPr/>
        <w:t>​</w:t>
      </w:r>
    </w:p>
    <w:p>
      <w:pPr>
        <w:pStyle w:val="TextBody"/>
        <w:bidi w:val="0"/>
        <w:spacing w:before="0" w:after="0"/>
        <w:ind w:left="0" w:right="0" w:firstLine="590"/>
        <w:jc w:val="left"/>
        <w:rPr>
          <w:rFonts w:ascii="Times New Roman;Times;serif" w:hAnsi="Times New Roman;Times;serif"/>
          <w:sz w:val="20"/>
        </w:rPr>
      </w:pPr>
      <w:r>
        <w:rPr>
          <w:rFonts w:ascii="Times New Roman;Times;serif" w:hAnsi="Times New Roman;Times;serif"/>
          <w:sz w:val="20"/>
        </w:rPr>
        <w:t>The global data protection landscape is continually evolving, and we are or may become subject to numerous state, federal and foreign laws, requirements and regulations governing the collection, use, access to, confidentiality, disclosure, storage, processing, retention and security of personal information such as information that we may collect in connection with clinical trials in the U.S. and abroad.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90"/>
        <w:jc w:val="left"/>
        <w:rPr>
          <w:rFonts w:ascii="Times New Roman;Times;serif" w:hAnsi="Times New Roman;Times;serif"/>
          <w:sz w:val="20"/>
        </w:rPr>
      </w:pPr>
      <w:r>
        <w:rPr>
          <w:rFonts w:ascii="Times New Roman;Times;serif" w:hAnsi="Times New Roman;Times;serif"/>
          <w:sz w:val="20"/>
        </w:rPr>
        <w:t>In the U.S., HIPAA imposes privacy, security and breach reporting obligations with respect to individually identifiable health information upon “covered entities” (health plans, healthcare clearinghouses and certain healthcare providers), and their respective business associates, individuals or entities that create, receive, maintain or transmit protected health information in connection with providing a service for or on behalf of a covered entity, as well as their covered subcontractors. Most healthcare providers, including research institutions and other vendors from which we may obtain health-related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0" w:after="0"/>
        <w:ind w:left="0" w:right="79" w:hanging="0"/>
        <w:jc w:val="left"/>
        <w:rPr/>
      </w:pPr>
      <w:r>
        <w:rPr/>
        <w:t>​</w:t>
      </w:r>
    </w:p>
    <w:p>
      <w:pPr>
        <w:pStyle w:val="TextBody"/>
        <w:bidi w:val="0"/>
        <w:spacing w:before="0" w:after="0"/>
        <w:ind w:left="0" w:right="0" w:firstLine="590"/>
        <w:jc w:val="left"/>
        <w:rPr>
          <w:rFonts w:ascii="Times New Roman;Times;serif" w:hAnsi="Times New Roman;Times;serif"/>
          <w:sz w:val="20"/>
        </w:rPr>
      </w:pPr>
      <w:r>
        <w:rPr>
          <w:rFonts w:ascii="Times New Roman;Times;serif" w:hAnsi="Times New Roman;Times;serif"/>
          <w:sz w:val="20"/>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Further, we may also be subject to other state laws governing the privacy, processing and protection of personal information. For example, the California Consumer Privacy Act, or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Similar laws have been passed in other states, and are continuing to be proposed at the state and the federal level, reflecting a trend toward more stringent privacy legislation in the United States. HIPAA, the CCPA and other domestic privacy and data protection laws and regulations may increase our compliance costs and potential liability.</w:t>
      </w:r>
    </w:p>
    <w:p>
      <w:pPr>
        <w:pStyle w:val="TextBody"/>
        <w:bidi w:val="0"/>
        <w:spacing w:before="0" w:after="0"/>
        <w:ind w:left="60" w:right="59" w:firstLine="583"/>
        <w:jc w:val="left"/>
        <w:rPr/>
      </w:pPr>
      <w:r>
        <w:rPr/>
        <w:t>​</w:t>
      </w:r>
    </w:p>
    <w:p>
      <w:pPr>
        <w:pStyle w:val="TextBody"/>
        <w:bidi w:val="0"/>
        <w:spacing w:before="0" w:after="0"/>
        <w:ind w:left="0" w:right="0" w:firstLine="590"/>
        <w:jc w:val="left"/>
        <w:rPr>
          <w:rFonts w:ascii="Times New Roman;Times;serif" w:hAnsi="Times New Roman;Times;serif"/>
          <w:sz w:val="20"/>
        </w:rPr>
      </w:pPr>
      <w:r>
        <w:rPr>
          <w:rFonts w:ascii="Times New Roman;Times;serif" w:hAnsi="Times New Roman;Times;serif"/>
          <w:sz w:val="20"/>
        </w:rPr>
        <w:t>Our operations abroad may also be subject to increased scrutiny or attention from data protection authorities. For example, the General Data Protection Regulation, or GDPR, imposes stringent requirements for processing the personal data of individuals within the European Economic Area, or EEA, which consists of the 27 EU member states plus Iceland, Lichtenstein and Norway, or in the context of our activities within the EEA. Companies that must comply with the GDPR face increased compliance obligations and risk, including more robust regulatory enforcement of data protection requirements and, among other things, potential fines for noncompliance of up to €20 million or up to 4% of the total worldwide annual turnover of the relevant undertaking in the preceding financial year, whichever is higher, and other administrative penalties.</w:t>
      </w:r>
    </w:p>
    <w:p>
      <w:pPr>
        <w:pStyle w:val="TextBody"/>
        <w:bidi w:val="0"/>
        <w:spacing w:lineRule="atLeast" w:line="185" w:before="0" w:after="0"/>
        <w:ind w:left="0" w:right="0" w:hanging="0"/>
        <w:jc w:val="left"/>
        <w:rPr/>
      </w:pPr>
      <w:r>
        <w:rPr/>
        <w:t>​</w:t>
      </w:r>
    </w:p>
    <w:p>
      <w:pPr>
        <w:pStyle w:val="TextBody"/>
        <w:bidi w:val="0"/>
        <w:spacing w:before="0" w:after="0"/>
        <w:ind w:left="0" w:right="0" w:firstLine="654"/>
        <w:jc w:val="left"/>
        <w:rPr>
          <w:rFonts w:ascii="Times New Roman;Times;serif" w:hAnsi="Times New Roman;Times;serif"/>
          <w:sz w:val="20"/>
        </w:rPr>
      </w:pPr>
      <w:r>
        <w:rPr>
          <w:rFonts w:ascii="Times New Roman;Times;serif" w:hAnsi="Times New Roman;Times;serif"/>
          <w:sz w:val="20"/>
        </w:rPr>
        <w:t>Among other requirements, the GDPR regulates transfers of personal data subject to the GDPR to third countries that have not been found to provide adequate protection to such personal data, including the U.S.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The General Court of the European Union upheld that decision in September 2025, although adequacy decisions are subject to periodic review and may be challenged, modified, suspended or invalidated. As a result, international data transfers remain subject to legal uncertainty and heightened regulatory scrutiny. Any inability to lawfully transfer personal data across jurisdictions in which we operate could require us to implement additional safeguards, localize data or systems, or modify our operations, which could increase costs and adversely affect our business, results of operations, and financial condition.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90"/>
        <w:jc w:val="left"/>
        <w:rPr>
          <w:rFonts w:ascii="Times New Roman;Times;serif" w:hAnsi="Times New Roman;Times;serif"/>
          <w:sz w:val="20"/>
        </w:rPr>
      </w:pPr>
      <w:r>
        <w:rPr>
          <w:rFonts w:ascii="Times New Roman;Times;serif" w:hAnsi="Times New Roman;Times;serif"/>
          <w:sz w:val="20"/>
        </w:rPr>
        <w:t>Further, we are subject to the UK GDPR, which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UK privacy law has been, and continues to be, subject to scrutiny and proposed changes. This could affect the ease of data transfers between the EEA and the UK in the future. As we continue to expand into other foreign countries and jurisdictions, we may be subject to additional laws and regulations that may affect how we conduct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Although we work to comply with applicable laws, regulations and standards, as well as our contractual obligations and other legal obligations, relating to data privacy and security, these requirements are evolving and may be modified, interpreted and applied in an inconsistent manner from one jurisdiction and/or organization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data and security concerns, even if unfounded, could result in additional costs, claims by and liability to third parties, government investigations and enforcement actions, damage to our reputation, and other adverse effects on our business, financial condition and results of operations.</w:t>
      </w:r>
    </w:p>
    <w:p>
      <w:pPr>
        <w:pStyle w:val="TextBody"/>
        <w:bidi w:val="0"/>
        <w:spacing w:before="0" w:after="0"/>
        <w:ind w:left="0" w:right="0" w:firstLine="654"/>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subject to environmental, health and safety laws and regulations, and we may become exposed to liability and substantial expenses in connection with environmental compliance or remediation activities.</w:t>
      </w:r>
    </w:p>
    <w:p>
      <w:pPr>
        <w:pStyle w:val="TextBody"/>
        <w:bidi w:val="0"/>
        <w:spacing w:before="0" w:after="0"/>
        <w:ind w:left="0" w:right="0" w:hanging="0"/>
        <w:jc w:val="both"/>
        <w:rPr/>
      </w:pPr>
      <w:r>
        <w:rPr/>
        <w:t>​</w:t>
      </w:r>
    </w:p>
    <w:p>
      <w:pPr>
        <w:pStyle w:val="TextBody"/>
        <w:bidi w:val="0"/>
        <w:spacing w:before="0" w:after="0"/>
        <w:ind w:left="0" w:right="0" w:firstLine="590"/>
        <w:jc w:val="left"/>
        <w:rPr>
          <w:rFonts w:ascii="Times New Roman;Times;serif" w:hAnsi="Times New Roman;Times;serif"/>
          <w:sz w:val="20"/>
        </w:rPr>
      </w:pPr>
      <w:r>
        <w:rPr>
          <w:rFonts w:ascii="Times New Roman;Times;serif" w:hAnsi="Times New Roman;Times;serif"/>
          <w:sz w:val="20"/>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Additionally, if environmental regulations are enacted that restrict our ability to use one or more of the materials or compounds necessary to manufacture our product candidates, and we are unable to find suitable alternatives or such alternatives require additional testing or will extend the manufacturing timeline, then we may be unable to manufacture our product candidates in a timely manner, or at all.</w:t>
      </w:r>
    </w:p>
    <w:p>
      <w:pPr>
        <w:pStyle w:val="TextBody"/>
        <w:bidi w:val="0"/>
        <w:spacing w:before="0" w:after="0"/>
        <w:ind w:left="60" w:right="59" w:firstLine="596"/>
        <w:jc w:val="left"/>
        <w:rPr/>
      </w:pPr>
      <w:r>
        <w:rPr/>
        <w:t>​</w:t>
      </w:r>
    </w:p>
    <w:p>
      <w:pPr>
        <w:pStyle w:val="TextBody"/>
        <w:bidi w:val="0"/>
        <w:spacing w:before="0" w:after="0"/>
        <w:ind w:left="0" w:right="59" w:firstLine="656"/>
        <w:jc w:val="left"/>
        <w:rPr>
          <w:rFonts w:ascii="Times New Roman;Times;serif" w:hAnsi="Times New Roman;Times;serif"/>
          <w:sz w:val="20"/>
        </w:rPr>
      </w:pPr>
      <w:r>
        <w:rPr>
          <w:rFonts w:ascii="Times New Roman;Times;serif" w:hAnsi="Times New Roman;Times;serif"/>
          <w:sz w:val="20"/>
        </w:rPr>
        <w:t>We may be subject to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efforts or those of our third-party manufacturers may be interrupted or delayed.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established internal controls to detect and prevent violations of applicable anti-corruption laws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Commercialization</w:t>
      </w:r>
    </w:p>
    <w:p>
      <w:pPr>
        <w:pStyle w:val="TextBody"/>
        <w:bidi w:val="0"/>
        <w:spacing w:lineRule="atLeast" w:line="216" w:before="0" w:after="0"/>
        <w:ind w:left="0" w:right="0" w:hanging="0"/>
        <w:jc w:val="both"/>
        <w:rPr/>
      </w:pPr>
      <w:r>
        <w:rPr/>
        <w:t>​</w:t>
      </w:r>
    </w:p>
    <w:p>
      <w:pPr>
        <w:pStyle w:val="TextBody"/>
        <w:bidi w:val="0"/>
        <w:spacing w:lineRule="auto" w:line="300" w:before="0" w:after="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pStyle w:val="TextBody"/>
        <w:bidi w:val="0"/>
        <w:spacing w:lineRule="atLeast" w:line="187"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development and commercialization of new gene therapy products is highly competitive. Moreover, the gene regulation and manufacturing fields are characterized by rapidly changing technologies and a strong emphasis on intellectual property. We may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are a number of large pharmaceutical and biotechnology companies that currently market and sell products or are pursuing the development of products for the treatment of the disease indications for which we have research programs, including inherited retinal diseases and neurodegenerative diseases. Some of these competitive products and therapies are based on scientific approaches that are similar to our approach, and others are based on entirely different approaches. Differences in the scientific approaches may create confusion or uncertainty among clinical trial investigators or patient populations, which could delay or hinder enrollment or initiation of our clinical trials.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platform and products focus on the development of gene therapies and gene regulation technology. In 2017, the FDA approved the first gene treatment for RPE65-associated retinal disease, Luxturna, a commercially available product developed by Spark Therapeutics, Inc., which was purchased by Roche. There are a number of other companies developing ocular gene therapy products, including Beacon Therapeutics Limited and 4D Molecular Therapeutics, Inc. There are a number of companies developing gene therapy products for neurodegenerative diseases, including Voyager Therapeutics, Inc. and Lilly. In addition to competition from other gene therapies, any products we may develop may also face competition from other types of therapies, such as small molecule, antibody, or protein therapies. Many of our current or potential competitors, either alone or with their collaboration partners, have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These competitors also compete with us in recruiting and retaining qualified scientific, manufacturing and management personnel and establishing clinical trial sites and patient enrollment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limiting demand or the price we are able to charge, or that could render any products that we may develop obsolete or non-competitive. Our competitors also may obtain FDA, MHRA or other regulatory approval for their products more rapidly than we may obtain approval for ours, which could result in our competitors establishing a strong market position before we are able to enter the market. In addition, as a result of the expiration or successful challenge of our patent rights, we could face more litigation with respect to the validity and/or scope of patents relating to our competitors’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availability of coverage and adequacy of reimbursement by governmental healthcare programs such as Medicare and Medicaid, private health insurers and other third-party payors are essential for most patients to be able to afford medical services and pharmaceutical products such as our product candidates, assuming regulatory approval. Our ability to achieve acceptable levels of coverage and reimbursement for our products or procedures using our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separately reimburse for our products or procedures using our products could reduce physician utilization of our products if approved. Assuming there is such coverage by a third-party payor, the resulting reimbursement payment rates may not be adequate or may require co-payments that patients find unacceptably high. We cannot be sure that coverage and reimbursement in the United States, the UK, the EU or elsewhere will be available for our product candidates or any product that we may develop, and any reimbursement that may become available may not be adequate or may be decreased or eliminated in the future.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significant uncertainty related to the insurance coverage and reimbursement of newly-approved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Outside the United States, international operations are generally subject to extensive governmental price controls and other market regulations, and we believe the increasing emphasis on cost-containment initiatives in Europe and other countries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commercially-reasonable revenue and profits.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pStyle w:val="TextBody"/>
        <w:bidi w:val="0"/>
        <w:spacing w:before="0" w:after="0"/>
        <w:ind w:left="0" w:right="0" w:hanging="0"/>
        <w:jc w:val="left"/>
        <w:rPr/>
      </w:pPr>
      <w:r>
        <w:rPr/>
        <w:t>​</w:t>
      </w:r>
    </w:p>
    <w:p>
      <w:pPr>
        <w:pStyle w:val="TextBody"/>
        <w:bidi w:val="0"/>
        <w:spacing w:before="0" w:after="0"/>
        <w:ind w:left="0" w:right="259" w:hanging="0"/>
        <w:jc w:val="left"/>
        <w:rPr>
          <w:rFonts w:ascii="Times New Roman;Times;serif" w:hAnsi="Times New Roman;Times;serif"/>
          <w:b/>
          <w:i/>
          <w:sz w:val="20"/>
        </w:rPr>
      </w:pPr>
      <w:r>
        <w:rPr>
          <w:rFonts w:ascii="Times New Roman;Times;serif" w:hAnsi="Times New Roman;Times;serif"/>
          <w:b/>
          <w:i/>
          <w:sz w:val="20"/>
        </w:rPr>
        <w:t>Even if our product candidates receive marketing approval, they may fail to achieve market acceptance by physicians, patients, third-party payors or others in the medical community necessary for commercial success.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our product candidates receive marketing approval, they may nonetheless fail to gain sufficient market acceptance by physicians, patients, third-party payors and others in the medical community. If they do not achieve an adequate level of acceptance, we may not generate significant product revenues or become profitable. The degree of market acceptance of our product candidates, if approved for commercial sale, will depend on a number of factors, including but not limited to:</w:t>
      </w:r>
    </w:p>
    <w:p>
      <w:pPr>
        <w:pStyle w:val="TextBody"/>
        <w:bidi w:val="0"/>
        <w:spacing w:before="0" w:after="0"/>
        <w:ind w:left="0" w:right="0" w:hanging="0"/>
        <w:jc w:val="left"/>
        <w:rPr/>
      </w:pPr>
      <w:r>
        <w:rPr/>
        <w:t>​</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potential advantages compared to alternative treatments;</w:t>
            </w:r>
          </w:p>
        </w:tc>
      </w:tr>
    </w:tbl>
    <w:p>
      <w:pPr>
        <w:pStyle w:val="TextBody"/>
        <w:bidi w:val="0"/>
        <w:spacing w:lineRule="atLeast" w:line="225" w:before="0" w:after="0"/>
        <w:ind w:left="0" w:right="0" w:hanging="0"/>
        <w:jc w:val="left"/>
        <w:rPr/>
      </w:pPr>
      <w:r>
        <w:rPr/>
        <w:t>​</w:t>
      </w:r>
    </w:p>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sales and marketing efforts;</w:t>
            </w:r>
          </w:p>
        </w:tc>
      </w:tr>
    </w:tbl>
    <w:p>
      <w:pPr>
        <w:pStyle w:val="TextBody"/>
        <w:bidi w:val="0"/>
        <w:spacing w:lineRule="atLeast" w:line="225" w:before="0" w:after="0"/>
        <w:ind w:left="0" w:right="0" w:hanging="0"/>
        <w:jc w:val="left"/>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treatment in relation to alternative treatments, including any similar generic treatments;</w:t>
            </w:r>
          </w:p>
        </w:tc>
      </w:tr>
    </w:tbl>
    <w:p>
      <w:pPr>
        <w:pStyle w:val="TextBody"/>
        <w:bidi w:val="0"/>
        <w:spacing w:lineRule="atLeast" w:line="236" w:before="0" w:after="0"/>
        <w:ind w:left="0" w:right="0" w:hanging="0"/>
        <w:jc w:val="left"/>
        <w:rPr/>
      </w:pPr>
      <w:r>
        <w:rPr/>
        <w:t>​</w:t>
      </w:r>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our product candidates for sale at competitive prices;</w:t>
            </w:r>
          </w:p>
        </w:tc>
      </w:tr>
    </w:tbl>
    <w:p>
      <w:pPr>
        <w:pStyle w:val="TextBody"/>
        <w:bidi w:val="0"/>
        <w:spacing w:lineRule="atLeast" w:line="225" w:before="0" w:after="0"/>
        <w:ind w:left="0" w:right="0" w:hanging="0"/>
        <w:jc w:val="left"/>
        <w:rPr/>
      </w:pPr>
      <w:r>
        <w:rPr/>
        <w:t>​</w:t>
      </w:r>
    </w:p>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w:t>
            </w:r>
          </w:p>
        </w:tc>
      </w:tr>
    </w:tbl>
    <w:p>
      <w:pPr>
        <w:pStyle w:val="TextBody"/>
        <w:bidi w:val="0"/>
        <w:spacing w:lineRule="atLeast" w:line="225" w:before="0" w:after="0"/>
        <w:ind w:left="0" w:right="0" w:hanging="0"/>
        <w:jc w:val="left"/>
        <w:rPr/>
      </w:pPr>
      <w:r>
        <w:rPr/>
        <w:t>​</w:t>
      </w:r>
    </w:p>
    <w:tbl>
      <w:tblPr>
        <w:tblW w:w="9850" w:type="dxa"/>
        <w:jc w:val="left"/>
        <w:tblInd w:w="0" w:type="dxa"/>
        <w:tblLayout w:type="fixed"/>
        <w:tblCellMar>
          <w:top w:w="28" w:type="dxa"/>
          <w:left w:w="28" w:type="dxa"/>
          <w:bottom w:w="28" w:type="dxa"/>
          <w:right w:w="28" w:type="dxa"/>
        </w:tblCellMar>
      </w:tblPr>
      <w:tblGrid>
        <w:gridCol w:w="124"/>
        <w:gridCol w:w="256"/>
        <w:gridCol w:w="931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marketing and distribution support, and publicity concerning our products or competing products and treatments;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competitive products;</w:t>
            </w:r>
          </w:p>
        </w:tc>
      </w:tr>
    </w:tbl>
    <w:p>
      <w:pPr>
        <w:pStyle w:val="TextBody"/>
        <w:bidi w:val="0"/>
        <w:spacing w:lineRule="atLeast" w:line="225" w:before="0" w:after="0"/>
        <w:ind w:left="0" w:right="0" w:hanging="0"/>
        <w:jc w:val="left"/>
        <w:rPr/>
      </w:pPr>
      <w:r>
        <w:rPr/>
        <w:t>​</w:t>
      </w:r>
    </w:p>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third-party coverage and adequate reimbursement;</w:t>
            </w:r>
          </w:p>
        </w:tc>
      </w:tr>
    </w:tbl>
    <w:p>
      <w:pPr>
        <w:pStyle w:val="TextBody"/>
        <w:bidi w:val="0"/>
        <w:spacing w:lineRule="atLeast" w:line="22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labeling or product insert requirements of the FDA, MHRA, EMA or other regulatory authorities, including any limitations or warnings contained in a product’s approved labeling;</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70" w:before="0" w:after="0"/>
        <w:ind w:left="0" w:right="0" w:hanging="0"/>
        <w:jc w:val="left"/>
        <w:rPr/>
      </w:pPr>
      <w:r>
        <w:rPr/>
        <w:t>​</w:t>
      </w:r>
    </w:p>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and</w:t>
            </w:r>
          </w:p>
        </w:tc>
      </w:tr>
    </w:tbl>
    <w:p>
      <w:pPr>
        <w:pStyle w:val="TextBody"/>
        <w:bidi w:val="0"/>
        <w:spacing w:lineRule="atLeast" w:line="225" w:before="0" w:after="0"/>
        <w:ind w:left="0" w:right="0" w:hanging="0"/>
        <w:jc w:val="left"/>
        <w:rPr/>
      </w:pPr>
      <w:r>
        <w:rPr/>
        <w:t>​</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the use of our product together with other medications.</w:t>
            </w:r>
          </w:p>
        </w:tc>
      </w:tr>
    </w:tbl>
    <w:p>
      <w:pPr>
        <w:pStyle w:val="TextBody"/>
        <w:bidi w:val="0"/>
        <w:spacing w:lineRule="atLeast" w:line="22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Because we expect sales of our product candidates, if approved, to generate substantially all of our product revenues for a substantial period, the failure of these product candidates to find market acceptance would harm our business and could require us to seek additional financing.</w:t>
      </w:r>
    </w:p>
    <w:p>
      <w:pPr>
        <w:pStyle w:val="TextBody"/>
        <w:bidi w:val="0"/>
        <w:spacing w:before="0" w:after="0"/>
        <w:ind w:left="0" w:right="0" w:hanging="0"/>
        <w:jc w:val="left"/>
        <w:rPr/>
      </w:pPr>
      <w:r>
        <w:rPr/>
        <w:t>​</w:t>
      </w:r>
    </w:p>
    <w:p>
      <w:pPr>
        <w:pStyle w:val="TextBody"/>
        <w:bidi w:val="0"/>
        <w:spacing w:before="0" w:after="0"/>
        <w:ind w:left="0" w:right="339" w:hanging="0"/>
        <w:jc w:val="left"/>
        <w:rPr>
          <w:rFonts w:ascii="Times New Roman;Times;serif" w:hAnsi="Times New Roman;Times;serif"/>
          <w:b/>
          <w:i/>
          <w:sz w:val="20"/>
        </w:rPr>
      </w:pPr>
      <w:r>
        <w:rPr>
          <w:rFonts w:ascii="Times New Roman;Times;serif" w:hAnsi="Times New Roman;Times;serif"/>
          <w:b/>
          <w:i/>
          <w:sz w:val="20"/>
        </w:rPr>
        <w:t>If we are unable to establish sales, marketing and distribution capabilities either on our own or in collaboration with third parties, we may not be successful in commercializing our product candidates or realizing the synergies in the target indications of our programs, even if they are approved.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have any infrastructure for the sales, marketing or distribution of our products, and the cost of establishing and maintaining such an organization may exceed the cost-effectiveness of doing so or we may seek collaborative arrangements or external funding to commercialize our product candidates.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such capabilities could delay any product launch, which would adversely impact the commercialization of our product candidates. Additionally, if any commercial launch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not have the resources in the foreseeable future to allocate to the sales and marketing of our product candidates in certain markets. Therefore, our future sales in these markets will largely depend on our ability to enter into and maintain collaborative relationships for such capabilities, the collaborator’s strategic interest in the product and such collaborator’s ability to successfully market and sell the product. For example, Lilly will be solely responsible for the commercialization of AAV-AIPL1 pursuant to the Lilly Collaboration Agreement. We also may pursue collaborative arrangements regarding the sale and marketing of bota-vec, AAV-hAQP1, AAV-GAD, our other IRD programs, our riboswitch gene regulation platform technology or other future gene therapy programs, if approved, for the United States and/or certain markets overseas; however, there can be no assurance that we will be able to establish or maintain such collaborative arrangements, or if able to do so, that they will have effective sales forces.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are unable to build our own sales force or negotiate or maintain a collaborative relationship for the commercialization of our product candidates, we may be forced to delay potential commercialization or reduce the scope of our sales or marketing activities. If we elect to increase our expenditures to fund commercialization activities internationally, we will need to obtain additional capital, which may not be available to us on acceptable terms, or at all. We could enter into arrangements with collaborative partners at an earlier stage than otherwise would be ideal and we may be required to relinquish rights or otherwise agree to terms unfavorable to us, any of which may have an adverse effect on our business, operating results and prospects.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Some indications targeted by our ophthalmology programs are rare, but we anticipate realizing synergies in commercializing our IRD product candidates, should they be approved. Failure to realize synergies in our sales, marketing and distribution efforts may harm our commercialization efforts.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or our collaborators are unable to establish or maintain adequate sales, marketing and distribution capabilities, we will not be successful in commercializing our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lineRule="atLeast" w:line="176"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0"/>
        <w:ind w:left="0" w:right="0" w:hanging="0"/>
        <w:jc w:val="left"/>
        <w:rPr>
          <w:rFonts w:ascii="Times New Roman;Times;serif" w:hAnsi="Times New Roman;Times;serif"/>
          <w:b/>
          <w:i/>
          <w:sz w:val="20"/>
        </w:rPr>
      </w:pPr>
      <w:r>
        <w:rPr>
          <w:rFonts w:ascii="Times New Roman;Times;serif" w:hAnsi="Times New Roman;Times;serif"/>
          <w:b/>
          <w:i/>
          <w:sz w:val="20"/>
        </w:rPr>
        <w:t>If any of our products are commercialized outside of the United States, the UK or the EU, a variety of risks associated with international operations could adversely affect our business.</w:t>
      </w:r>
    </w:p>
    <w:p>
      <w:pPr>
        <w:pStyle w:val="TextBody"/>
        <w:bidi w:val="0"/>
        <w:spacing w:lineRule="atLeast" w:line="170"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any of our products are approved for commercialization, we have entered into, and intend to enter into, agreements with third parties to market them in certain jurisdictions outside the United States, the UK and the EU, such as under our Lilly Collaboration Agreement. We expect that we and our third-party collaborators will be subject to additional risks related to international pharmaceutical operations, including:</w:t>
      </w:r>
    </w:p>
    <w:p>
      <w:pPr>
        <w:pStyle w:val="TextBody"/>
        <w:bidi w:val="0"/>
        <w:spacing w:lineRule="atLeast" w:line="187"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regulatory requirements for drug and biologic approvals and rules governing drug and biologic commercialization in foreign countries;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tighter restrictions on data privacy and security and the collection and use of patient data;</w:t>
            </w:r>
          </w:p>
        </w:tc>
      </w:tr>
    </w:tbl>
    <w:p>
      <w:pPr>
        <w:pStyle w:val="TextBody"/>
        <w:bidi w:val="0"/>
        <w:spacing w:lineRule="atLeast" w:line="225" w:before="0" w:after="0"/>
        <w:ind w:left="0" w:right="0" w:hanging="0"/>
        <w:jc w:val="left"/>
        <w:rPr/>
      </w:pPr>
      <w:r>
        <w:rPr/>
        <w:t>​</w:t>
      </w:r>
    </w:p>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or loss of protection for intellectual property rights;</w:t>
            </w:r>
          </w:p>
        </w:tc>
      </w:tr>
    </w:tbl>
    <w:p>
      <w:pPr>
        <w:pStyle w:val="TextBody"/>
        <w:bidi w:val="0"/>
        <w:spacing w:lineRule="atLeast" w:line="225" w:before="0" w:after="0"/>
        <w:ind w:left="0" w:right="0" w:hanging="0"/>
        <w:jc w:val="left"/>
        <w:rPr/>
      </w:pPr>
      <w:r>
        <w:rPr/>
        <w:t>​</w:t>
      </w:r>
    </w:p>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reimbursement, pricing and insurance regimes;</w:t>
            </w:r>
          </w:p>
        </w:tc>
      </w:tr>
    </w:tbl>
    <w:p>
      <w:pPr>
        <w:pStyle w:val="TextBody"/>
        <w:bidi w:val="0"/>
        <w:spacing w:before="0" w:after="0"/>
        <w:ind w:left="0" w:right="0" w:hanging="0"/>
        <w:jc w:val="left"/>
        <w:rPr/>
      </w:pPr>
      <w:r>
        <w:rPr/>
        <w:t>​</w:t>
      </w:r>
    </w:p>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and regulatory requirements;</w:t>
            </w:r>
          </w:p>
        </w:tc>
      </w:tr>
    </w:tbl>
    <w:p>
      <w:pPr>
        <w:pStyle w:val="TextBody"/>
        <w:bidi w:val="0"/>
        <w:spacing w:lineRule="auto" w:line="343" w:before="0" w:after="0"/>
        <w:ind w:left="60" w:right="59" w:firstLine="594"/>
        <w:jc w:val="left"/>
        <w:rPr/>
      </w:pPr>
      <w:r>
        <w:rPr/>
        <w:t>​</w:t>
      </w:r>
    </w:p>
    <w:tbl>
      <w:tblPr>
        <w:tblW w:w="9415" w:type="dxa"/>
        <w:jc w:val="left"/>
        <w:tblInd w:w="0" w:type="dxa"/>
        <w:tblLayout w:type="fixed"/>
        <w:tblCellMar>
          <w:top w:w="28" w:type="dxa"/>
          <w:left w:w="28" w:type="dxa"/>
          <w:bottom w:w="28" w:type="dxa"/>
          <w:right w:w="28" w:type="dxa"/>
        </w:tblCellMar>
      </w:tblPr>
      <w:tblGrid>
        <w:gridCol w:w="124"/>
        <w:gridCol w:w="256"/>
        <w:gridCol w:w="888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widespread health emergencies, or natural disasters including earthquakes, typhoons, floods and fires, or from economic or political instability;</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3" w:before="0" w:after="0"/>
        <w:ind w:left="0" w:right="0" w:hanging="0"/>
        <w:jc w:val="left"/>
        <w:rPr/>
      </w:pPr>
      <w:r>
        <w:rPr/>
        <w:t>​</w:t>
      </w:r>
    </w:p>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difficulty with enforcing our contracts;</w:t>
            </w:r>
          </w:p>
        </w:tc>
      </w:tr>
    </w:tbl>
    <w:p>
      <w:pPr>
        <w:pStyle w:val="TextBody"/>
        <w:bidi w:val="0"/>
        <w:spacing w:lineRule="atLeast" w:line="22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noncompliance with the FCPA, the Bribery Act and similar anti-bribery and anticorruption laws in other jurisdictions;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p>
      <w:pPr>
        <w:pStyle w:val="TextBody"/>
        <w:bidi w:val="0"/>
        <w:ind w:left="1051" w:right="72" w:hanging="0"/>
        <w:jc w:val="left"/>
        <w:rPr/>
      </w:pPr>
      <w:r>
        <w:rPr/>
        <w:t>●</w:t>
      </w:r>
      <w:r>
        <w:rPr>
          <w:rFonts w:ascii="Times New Roman;Times;serif" w:hAnsi="Times New Roman;Times;serif"/>
          <w:sz w:val="20"/>
        </w:rPr>
        <w:t>workforce uncertainty in countries where labor unrest is more common than in the United States and compliance with tax, employment, immigration and labor laws for employees living or traveling abroad.</w:t>
      </w:r>
    </w:p>
    <w:p>
      <w:pPr>
        <w:pStyle w:val="TextBody"/>
        <w:bidi w:val="0"/>
        <w:spacing w:lineRule="auto" w:line="343" w:before="0" w:after="0"/>
        <w:ind w:left="60" w:right="59" w:firstLine="594"/>
        <w:jc w:val="left"/>
        <w:rPr/>
      </w:pPr>
      <w:r>
        <w:rPr/>
        <w:t>​</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We have no prior experience in these areas and we may rely on other third parties to help us establish our international commercialization operations. In addition, there are complex regulatory, tax, labor and other legal requirements imposed by individual countries in Europe with which we and our third-party collaborators will need to comply. If we are unable to successfully manage the challenges of international expansion and operations, our business and operating results could be harmed.</w:t>
      </w:r>
    </w:p>
    <w:p>
      <w:pPr>
        <w:pStyle w:val="TextBody"/>
        <w:bidi w:val="0"/>
        <w:spacing w:lineRule="atLeast" w:line="188"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Any product candidates for which we intend to seek approval as biologic products may face competition sooner than anticipated.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 other company’s 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any of our product candidates approved as a biological product under a BLA should qualify for the 12-year period of exclusivity. However, 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outside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competitors are able to obtain marketing approval for biosimilars referencing our products, our products may become subject to competition from such biosimilars, with the attendant competitive pressure and consequences.</w:t>
      </w:r>
    </w:p>
    <w:p>
      <w:pPr>
        <w:pStyle w:val="TextBody"/>
        <w:bidi w:val="0"/>
        <w:spacing w:before="0" w:after="0"/>
        <w:ind w:left="0" w:right="59"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our GMP manufacturing facilities are unable to supply our product candidates for all of our current preclinical, clinical and potential commercial needs, including any anticipated third party supply obligations, we will be forced to seek out third-party manufacturers. We currently contract with third parties for the manufacture of plasmid used in producing product candidates. Relying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produce our product candidates in our GMP viral vector manufacturing facility in London, UK, and our second, large scale GMP viral vector manufacturing facility and our first GMP plasmid and DNA production facility in Shannon, Ireland. However, if our current facilities are damaged, suffer any form of delay or regulatory challenges, we experience slowdowns or problems with our facilities or we are unable to scale our internal manufacturing capabilities to meet demand for our product candidates, we will need to contract with third-party manufacturers to produce our product candidates. While we now have our own plasmid manufacturing capabilities in our Shannon, Ireland facilities, we also rely on third-party manufacturers for the manufacture of plasmid used in the production of certain product candidates. We do not have a long-term supply agreement with any of the third-party manufacturers, and we purchase our required supply on a purchase order basis.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and our third-party manufacturers may also encounter difficulties or delays in manufacturing of our product candidates or the plasmid used in the production of our product candidates. Geopolitical actions, natural disaster or a widespread health emergency could impact our supply chain. To the extent that we or our third-party manufacturers are located in geographies affected by these matters, it may result in the temporary closing of manufacturing facilities and may increase the costs associated with manufacturing our product candidates.</w:t>
      </w:r>
    </w:p>
    <w:p>
      <w:pPr>
        <w:pStyle w:val="TextBody"/>
        <w:bidi w:val="0"/>
        <w:spacing w:before="0" w:after="0"/>
        <w:ind w:left="60" w:right="59" w:firstLine="596"/>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0"/>
        <w:ind w:left="0" w:right="0" w:hanging="0"/>
        <w:jc w:val="left"/>
        <w:rPr/>
      </w:pPr>
      <w:r>
        <w:rPr/>
        <w:t>​</w:t>
      </w:r>
    </w:p>
    <w:p>
      <w:pPr>
        <w:pStyle w:val="TextBody"/>
        <w:bidi w:val="0"/>
        <w:ind w:left="1051" w:right="0" w:hanging="0"/>
        <w:jc w:val="left"/>
        <w:rPr/>
      </w:pPr>
      <w:r>
        <w:rPr/>
        <w:t>●</w:t>
      </w:r>
      <w:r>
        <w:rPr>
          <w:rFonts w:ascii="Times New Roman;Times;serif" w:hAnsi="Times New Roman;Times;serif"/>
          <w:sz w:val="20"/>
        </w:rPr>
        <w:t>the possible breach of the manufacturing agreement by the third party, including failure to provide appropriate quantities in a timely manner;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the agreement by the third party at a time that is costly or inconvenient for us;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the third party for regulatory compliance, quality assurance, safety, and pharmacovigilance and related reporting.</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and our third-party manufacturers may not be able to comply with GMP regulations or similar regulatory requirements that might be required by the FDA, MHRA or EMA.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adversely affect supplies of our candidates and harm our business, financial condition, results of operations, and prospects.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therapies that we may develop may compete with other product candidates and products for access to manufacturing facilities. There are a limited number of manufacturers that operate under GMP or similar regulations and that might be capable of manufacturing for us. Any performance failure on the part of our existing or future manufacturers could delay clinical development or marketing approval.</w:t>
      </w:r>
    </w:p>
    <w:p>
      <w:pPr>
        <w:pStyle w:val="TextBody"/>
        <w:bidi w:val="0"/>
        <w:spacing w:before="0" w:after="0"/>
        <w:ind w:left="60" w:right="59" w:firstLine="594"/>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any product candidates we may develop or any components required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 the past, and may in the future, collaborate with third parties for the development, manufacture and commercialization of our product candidates. We may not succeed in establishing and maintaining collaborative relationships, which may significantly limit our ability to develop and commercialize our product candidates successfully, if at all.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entered into collaboration agreements with third parties for the development and commercialization of our product candidates, including the Lilly Collaboration Agreement for the development and commercialization of AAV-AIPL1 and two other preclinical product candidates which are intended to treat other inherited retinal dystrophies. In addition, in October 2023 we provided Sanofi and its affiliates with a right of first negotiation for use of our riboswitch gene regulation technology for certain Immunology and Inflammation (I&amp;I), including modulation of IL-4 and IL-13, and Central Nervous System (CNS) targets, as well as for GLP-1 and other gut peptides for metabolic disease, and for our Phase 2 xerostomia program, under the Investment Agreement. We also completed the initial closing of our strategic collaboration with Hologen in April 2026 as described above. We may seek additional collaborative relationships in the future. Failure to obtain a collaborative relationship for our product candidates may significantly impair their commercial potential. We also may need to enter into collaborative relationships to provide funding to support our other research and development programs. The process of establishing and maintaining collaborative relationships is difficult, time-consuming and involves significant uncertainty, such as: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may shift its priorities and resources away from our product candidates due to a change in business strategies, or a merger, acquisition, sale or downsizing;</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may seek to renegotiate or terminate their relationships with us due to unsatisfactory clinical results, manufacturing issues, a change in business strategy, a change of control or other reasons;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may cease development in therapeutic areas which are the subject of our strategic collaboration;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may not devote sufficient capital or resources towards our product candidates;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may change the success criteria for a product candidate thereby delaying or ceasing development of such candidate;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delay in initiation of certain development activities by a collaboration partner will also delay payment of milestones tied to such activities, thereby impacting our ability to fund our own activities;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could develop a product that competes, either directly or indirectly, with our product candidate;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with commercialization obligations may not commit sufficient financial or human resources to the marketing, distribution or sale of a product;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with manufacturing responsibilities may encounter regulatory, resource or quality issues and be unable to meet demand requirements;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collaboration partner may terminate a strategic alliance;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dispute may arise between us and a partner concerning the research, development or commercialization of a product candidate resulting in a delay in milestones, royalty payments or termination of an alliance and possibly resulting in costly litigation or arbitration which may divert management attention and resources;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left"/>
        <w:rPr/>
      </w:pPr>
      <w:r>
        <w:rPr/>
        <w:t>​</w:t>
      </w:r>
    </w:p>
    <w:tbl>
      <w:tblPr>
        <w:tblW w:w="9700" w:type="dxa"/>
        <w:jc w:val="left"/>
        <w:tblInd w:w="0" w:type="dxa"/>
        <w:tblLayout w:type="fixed"/>
        <w:tblCellMar>
          <w:top w:w="28" w:type="dxa"/>
          <w:left w:w="28" w:type="dxa"/>
          <w:bottom w:w="28" w:type="dxa"/>
          <w:right w:w="28" w:type="dxa"/>
        </w:tblCellMar>
      </w:tblPr>
      <w:tblGrid>
        <w:gridCol w:w="124"/>
        <w:gridCol w:w="256"/>
        <w:gridCol w:w="91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 may use our products or technology in such a way as to make us subject to litigation with a third party.</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product candidates, undertake development and commercialization activities at our own expense or find alternative sources of capital.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relied, and we expect to continue to rely, on third parties to conduct, supervise and monitor our preclinical studies and clinical trials, and if these third parties perform in an unsatisfactory manner, our business could be harmed.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to rely on CROs, clinical trial sites, and other vendors to ensure our preclinical studies and clinical trials are conducted properly and on time. We may also engage third parties such as clinical data management organizations, medical institutions and clinical investigators to conduct or assist in our clinical trials or other preclinical and clinical research and development work. While we will have agreements governing their activities, we will have limited influence over their actual performance. We will control only certain aspects of our third-party service providers’ activities. Nevertheless, we will be responsible for ensuring that each of our preclinical studies and clinical trials is conducted in accordance with applicable protocol, legal, quality, regulatory and scientific standards, including among other things, GCP requirements for clinical trials and good laboratory practice requirements for certain preclinical studies. Our reliance on these third parties does not relieve us of our regulatory responsibilities. For example, we are conducting the Phase 2 AQUAx2 clinical trial of AAV-hAQP1 for the treatment of patients with radiation-induced xerostomia at multiple clinical trial sites in North America and the United Kingdom. If any locations terminate the clinical trial, we may be required to find another party to conduct any new trials. We may be unable to find a new party to conduct new trials of our product candidates or obtain clinical supply of our product candidates or AAV vectors for such trials. If we elect to internalize some or all activities related to the conduct of our preclinical studies or clinical trials that are currently performed by our third-party service providers, or if we are required to do so due to a service provider’s termination of our relationship, then we may be required to source additional technology and personnel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order to perform the relevant activities. We may be unsuccessful in our efforts to internalize some or all relevant activities, either on the desired timeline or at all.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third-party service providers are not our employees, and therefore we may be unable to directly monitor whether or not they devote sufficient time, attention, expertise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or fail to meet expected deadlines, or if the quality or accuracy of the preclinical or clinical data they obtain is compromised due to the failure to adhere to our clinical protocols or regulatory requirements, or for any other reasons, our preclinical studies or clinical trials may be extended, delayed or terminated, and we may not be able to obtain regulatory approval for, or successfully commercialize our product candidates. As a result, our financial results and the commercial prospects for our product candidates could be harmed, our costs could increase, and our ability to generate revenues could be delayed.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our relationship with any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depend on proprietary technology licensed from others. If we lose our existing licenses or are unable to acquire or license additional proprietary rights from third parties, we may not be able to continue developing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currently in-license certain intellectual property from research institutions, universities and other third parties. We may also enter into additional agreements, including license agreements, with other parties in the future that impose diligence, development and commercialization timelines, milestone payments, royalties, insurance and other obligations on us. If we fail to comply with our obligations to any of our current or future collaborators, our counterparties may have the right to terminate these agreements, in which event we might not be able to develop, manufacture or market any product candidate that is covered by these agreements, which could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rely on other third parties from whom we license proprietary technology to file and prosecute patent applications and maintain patents and otherwise protect the intellectual property we license from them. We may have limited control over these activities or any other intellectual property that may be related to our in-licensed intellectual property. For example, we cannot be certain that such activities by these licensors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may be licensed to us. It is possible that the licensors’ infringement proceedings or defense activities may be less vigorous than if we conduct them ourselves.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be able to successfully complete such negotiations and ultimately acquire the rights to the intellectual property surrounding the additional product candidates that we may seek to acquire.</w:t>
      </w:r>
    </w:p>
    <w:p>
      <w:pPr>
        <w:pStyle w:val="TextBody"/>
        <w:bidi w:val="0"/>
        <w:spacing w:before="0" w:after="0"/>
        <w:ind w:left="60" w:right="239" w:hanging="0"/>
        <w:jc w:val="left"/>
        <w:rPr/>
      </w:pPr>
      <w:r>
        <w:rPr/>
        <w:t>​</w:t>
      </w:r>
    </w:p>
    <w:p>
      <w:pPr>
        <w:pStyle w:val="TextBody"/>
        <w:bidi w:val="0"/>
        <w:spacing w:before="0" w:after="0"/>
        <w:ind w:left="60" w:right="239" w:hanging="0"/>
        <w:jc w:val="left"/>
        <w:rPr>
          <w:rFonts w:ascii="Times New Roman;Times;serif" w:hAnsi="Times New Roman;Times;serif"/>
          <w:b/>
          <w:i/>
          <w:sz w:val="20"/>
        </w:rPr>
      </w:pPr>
      <w:r>
        <w:rPr>
          <w:rFonts w:ascii="Times New Roman;Times;serif" w:hAnsi="Times New Roman;Times;serif"/>
          <w:b/>
          <w:i/>
          <w:sz w:val="20"/>
        </w:rPr>
        <w:t>If we are unable to obtain and maintain patent protection for our technology and product candidates or if the scope of the patent protection obtained is not sufficiently broad, we may not be able to compete effectively in our markets.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rely upon a combination of patents, trade secret protection and confidentiality agreements to protect the intellectual property related to our proprietary technologies, product candidate development programs and product candidates. Our success depends in part on our ability to secure and maintain patent protection in the United States and other countries with respect to our current product candidates and any future product candidates we may develop. We seek to protect our proprietary position by filing or collaborating with our licensors to file patent applications in the United States and abroad related to our proprietary technologies, development programs and product candidates. The patent prosecution process is expensive and time-consuming, and we may not be able to file and prosecute all necessary or desirable patent applications at a reasonable cost or in a timely manner. Moreover, the issuance, scope, validity, enforceability and commercial value of our patent rights are uncertain.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It is also possible that we might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Therefore, these patents and patent applications may not be prosecuted and enforced in a manner consistent with the best interests of our business. The patent applications that we own or in-license may fail to result in issued patents with claims that cover our proprietary products and technology, including current product candidates, any future product candidates we may develop, and our gene regulation technology in the United States or in other countries, in whole or in part. Alternately, our existing patents and any future patents we obtain may not be sufficiently broad to prevent others from using our technology or from developing competing products and technologies. There is no assurance that all potentially relevant prior art relating to our patents and patent applications has been found, which can prevent a patent from issuing from a pending patent application or later invalidate or narrow the scope of an issued patent.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In addition, 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Even if patents do successfully issue and even if such patents cover our current product candidates, any future product candidates we may develop and our gene regulation technology, third parties may challenge their validity, enforceability or scope thereof, which may result in such patents being narrowed, invalidated, or held unenforceable. Any successful challenge to these patents or any other patents owned by or licensed to us could deprive us of rights necessary for the successful commercialization of any of our product candidates or gene regulation technology. Our competitors may be able to circumvent our patents by developing similar or alternative product candidates in a non-infringing manner. Further, if we encounter delays in regulatory approvals, the period of time during which we could market a product candidate and our gene regulation technology under patent protection could be reduced.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patent applications we hold or have in-licensed with respect to our development programs and product candidates fail to issue, if their validity, breadth or strength of protection is threatened, or if they fail to provide meaningful exclusivity for any of our current or future product candidates or technology, it could dissuade companies from collaborating with us to develop product candidates, encourage competitors to develop competing products or technologies and threaten our ability to commercialize future product candidates. Any such outcome could harm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patent position of biotechnology and pharmaceutical companies is uncertain, involves complex legal and factual questions, and is characterized by the existence of large numbers of patents and frequent litigation based on allegations of patent or other intellectual property infringement or violation. In addition, the laws of jurisdictions outside the United States may not protect our rights to the same extent as the laws of the United States. Changes in either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laws or interpretation of the patent laws in the United States and other countries may diminish the value of our patents or narrow the scope of our patent protection.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Thus, even if our patent applications issue as patents, they may not issue in a form that will provide us with meaningful protection, prevent competitors from competing with us or otherwise provide us with any competitive advantage. Moreover, patents have a limited lifespan. In the United States, the natural expiration of a patent is generally 20 years after it is filed. Various extensions may be available; however, the life of a patent, and the protection it affords, is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our product candidates, prohibit our use of proprietary technology or sale of products or put our patents and other proprietary rights at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commercial success depends, in part, upon our ability to develop, manufacture, market and sell our product candidates without alleged or actual infringement, misappropriation or other violation of the patents and proprietary rights of third parties. However, our research, development and commercialization activities may be subject to claims that we infringe or otherwise violate patents or other intellectual property rights owned or controlled by third parties. Litigation relating to infringement or misappropriation of patent and other intellectual property rights in the pharmaceutical and biotechnology industries is common, including patent infringement lawsuits, interferences, oppositions and </w:t>
      </w:r>
      <w:r>
        <w:rPr>
          <w:rFonts w:ascii="Times New Roman;Times;serif" w:hAnsi="Times New Roman;Times;serif"/>
          <w:i/>
          <w:sz w:val="20"/>
        </w:rPr>
        <w:t>inter partes</w:t>
      </w:r>
      <w:r>
        <w:rPr>
          <w:rFonts w:ascii="Times New Roman;Times;serif" w:hAnsi="Times New Roman;Times;serif"/>
          <w:sz w:val="20"/>
        </w:rPr>
        <w:t xml:space="preserve"> reviews, and reexamination proceedings before the U.S. Patent and Trademark Office, or USPTO, and corresponding foreign patent offices. In addition, many companies in intellectual property-dependent industries, including the biotechnology and pharmaceutical industries, have employed intellectual property litigation as a means to gain an advantage over their competitors. Numerous U.S., EU and foreign issued patents and pending patent applications, which are owned by third parties, exist in the fields in which we are developing product candidates, and as the biotechnology and pharmaceutical industries expand and more patents are issued, the risk increases that our product candidates may be subject to claims of infringement of the intellectual property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be subject to third-party claims including infringement, interference or derivation proceedings, post-grant review and </w:t>
      </w:r>
      <w:r>
        <w:rPr>
          <w:rFonts w:ascii="Times New Roman;Times;serif" w:hAnsi="Times New Roman;Times;serif"/>
          <w:i/>
          <w:sz w:val="20"/>
        </w:rPr>
        <w:t>inter partes</w:t>
      </w:r>
      <w:r>
        <w:rPr>
          <w:rFonts w:ascii="Times New Roman;Times;serif" w:hAnsi="Times New Roman;Times;serif"/>
          <w:sz w:val="20"/>
        </w:rPr>
        <w:t xml:space="preserve"> review before the USPTO or similar adversarial proceedings or litigation in other jurisdictions. Even if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In addition, third parties may obtain patents in the future and claim that use of our technologies infringes upon these patents, and the holders of any such patents may be able to prohibit our use of those compositions, formulations, methods of treatment, prevention or use or other technologies, effectively blocking our ability to develop and commercialize the applicable product candidate until such patent expires or is finally determined to be invalid or unenforceable or unless we obtained a license.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defending such claims would cause us to incur substantial expenses and, if we are not successful in defending such claims, it could cause us to pay substantial damages if we are found to be infringing a third party’s patent rights. These damages potentially include increased damages (possibly treble damages) and attorneys’ fees if we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found to have infringed such rights willfully. 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also be forced to redesign or modify our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Competitors may infringe our patents or other intellectual property. If we or one of our licensors were to initiate legal proceedings against a third party to enforce a patent covering one of our product candidates, the defendant could counterclaim that our patent is invalid or unenforceable. If a defendant were to prevail on a legal assertion of invalidity or unenforceability, we would lose at least part, and perhaps all, of the patent protection on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identify relevant third-party patents or may incorrectly interpret the relevance, scope or expiration of a third-party patent, which might adversely affect our ability to develop, manufacture and market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the UK, the EU and elsewhere that is relevant to or necessary for the commercialization of our product candidates in any jurisdiction. For example, in the United States, applications filed before November 29, 2000 and certain applications filed after that date that will not be filed outside the United States remain confidential until patents issue. Patent applications in the United States, the UK, the EU and elsewhere are published approximately 18 months after the earliest filing for which priority is claimed, with such earliest filing date being commonly referred to as the priority date. Therefore, patent applications covering our product candidates could be filed by others without our knowledge. Additionally,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the UK, the EU or elsewhere that we consider relevant may be incorrect, which may negatively impact our ability to develop and market our product candidates.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identify and correctly interpret relevant patents may negatively impact our ability to develop and market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might, if possible, also be forced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patent laws or patent jurisprudence could diminish the value of patents in general, thereby impairing our ability to protect our product candidates.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Obtaining and enforcing patents in the biotechnology and genetic medicine industries involve both technological complexity and legal complexity. In addition, the Leahy-Smith America Invents Act, or the AIA, which was passed in September 2011, resulted in significant changes to the U.S. patent system.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This will require us to be cognizant of the time from invention to filing of a patent application and diligent in filing patent applications, but circumstances could prevent us from promptly filing patent applications on our inventions.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a third party may attempt to use the USPTO procedures to invalidate our patent claims that would not have been invalidated if first challenged by the third party as a defendant in a district court action because of a lower evidentiary standard in USPTO proceedings compared to the evidentiary standard in U.S. federal courts necessary to invalidate a patent claim. An adverse determination in any such proceeding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that may be important for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enjoy only limited geographical protection with respect to certain patents and we may not be able to protect our intellectual property rights throughout the world.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Filing, prosecuting and defending patents covering our product candidates in all countries throughout the world would be prohibitively expensive, and our intellectual property rights in some countries outside the United States can be less extensive than those in the United States. In-licensing patents covering our product candidates in all countries throughout the world may similarly be prohibitively expensive, if such opportunities are available at all. And 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the UK or the EU. These products may compete with our product candidates, and our or our licensors’ patents or other intellectual property rights may not be effective or sufficient to prevent them from competing.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laws of some jurisdictions do not protect intellectual property rights to the same extent as the laws or regulations in the United States, the UK and the EU,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 Proceedings to enforce our patent rights in foreign jurisdictions, whether or not successful, are likely to result in substantial costs and divert our efforts and attention from other aspects of our business, and additionally could put at risk our or our licensors’ patents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or the efforts of our licensors or collaborators, to enforce intellectual property rights around the world may be inadequate to obtain a significant commercial advantage from the intellectual property that we develop or license.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Patent terms may be inadequate to protect our competitive position on our product candidates for an adequate amount of time.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medications, including generic medications.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60" w:right="31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do not obtain patent term extension in the United States under the Hatch-Waxman Act and in foreign countries under similar legislation, thereby potentially extending the term of marketing exclusivity for our product candidates, our business may be harmed.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 In the UK and the EU, our product candidates may be eligible for term extensions based on similar legislation. In each of these jurisdictions,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essentially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shortened and our competitors may obtain approval to market competing products sooner. The resulting reduction in revenue from applicable products could be substantial.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proprietary rights may not adequately protect our technologies and product candidates, and do not necessarily address all potential threats to our competitive advantage.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products that are the same as or similar to our product candidates but that are not covered by the claims of the patents that we own or have exclusively licensed;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our other collaboration partners might not have been the first to conceive and reduce to practice the inventions covered by the patents or patent applications that we own, license or will own or license;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our other collaboration partners might not have been the first to file patent applications covering certain of the patents or patent applications that we or they own or have obtained a license, or will own or will have obtained a license;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may fail to meet obligations to the U.S. government with respect to in-licensed patents and patent applications funded by U.S. government grants, leading to the loss of patent rights;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own or exclusively license may not provide us with any competitive advantage, or may be held invalid or unenforceable, as a result of legal challenges by our competitors;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may require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consider proprietary trade secrets, confidential know-how and unpatented know-how to be important to our business. We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have relied in the past on third parties to manufacture our product candidates, because we may continue to do so in the future, and because we expect to collaborate with third parties on the development of our current product candidates and any future product candidates we develop, we may, at times, share trade secrets with them. We also conduct joint research and development programs that may require us to share trade secrets under the terms of our research and development partnerships or similar agreements. Under such circumstances, trade secrets and confidential know-how can be difficult to maintain as confidential.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may also be subject to claims that our employees, consultants or independent contractors have wrongfully used or disclosed confidential information of their former employers or other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and/or confidential know-how is expensive, time consuming and unpredictable, and the enforceability of confidentiality agreements may vary from jurisdiction to jurisdiction. Courts outside the United States are sometimes less willing to protect proprietary information, technology and know-how.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our trademarks and trade names are not adequately protected, then we may not be able to build name recognition in our markets of interest and our business may be adversely affected. Our trademark MeiraGTx is the subject of registrations and/or pending applications in the EU, UK and United States.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need to license or acquire additional intellectual property from third parties, and such intellectual property may not be available or may not be available on commercially reasonable terms.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growth of our business may depend in part on our ability to acquire or in-license additional proprietary rights. For example, our programs may involve product candidates or equipment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compositions and pre-existing pharmaceutical compositions. These pharmaceutical products may be covered by intellectual property rights held by others. We may be required by the FDA, MHRA, EMA or other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Employee Matters and Managing Our Organization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need to increase or decrease the size of our organization, and we may experience difficulties in managing those organizational changes, which could disrupt our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had 393 employees. If we seek to expand our organization,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or strategic opportunities related to our assets, loss of employees and reduced productivity among remaining employees. Our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potential ability to generate revenue could be reduced and we may not be able to implement our business strategy. Many of the biotechnology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 Alternatively, if we seek to decrease the number of employees in our organization in the future in response to adverse business events, it may lead to additional unanticipated attrition. If our future staffing is inadequate because of additional unanticipated attrition or because we failed to retain the staffing level required to accomplish our business objectives, we may be delayed or unable to continue the development of our product candidates, which could impede our ability to generate revenues and achieve or maintain profitability.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our key personnel and to attract, retain and motivate qualified personnel.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industry has experienced a high rate of turnover of management personnel in recent years. We are highly dependent on the development, regulatory, commercialization and business development expertise of Alexandria Forbes, Ph.D., our President and Chief Executive Officer, Rich Giroux, our Chief Operating Officer and Chief Financial Officer and the other executive officers and principal members of our management, scientific and clinical teams. Although we have formal employment agreements with certain of our executive officers, these agreements do not prevent them from terminating their employment with us at any time and, for certain of our executive officers, entitle them to receive severance payments in connection with their voluntary resignation of employment.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lose one or more of our executive officers or key employees, our ability to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these additional key personnel on acceptable terms given the competition among numerous pharmaceutical and biotechnology companies for similar personnel.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pStyle w:val="TextBody"/>
        <w:bidi w:val="0"/>
        <w:spacing w:before="0" w:after="0"/>
        <w:ind w:left="0" w:right="159"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Potential product liability lawsuits against us could cause us to incur substantial liabilities and limit commercialization of any products that we may develop.</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In addition, regardless of merit or eventual outcome, product liability claims may result in:</w:t>
      </w:r>
    </w:p>
    <w:p>
      <w:pPr>
        <w:pStyle w:val="TextBody"/>
        <w:bidi w:val="0"/>
        <w:spacing w:before="0" w:after="0"/>
        <w:ind w:left="0" w:right="0" w:hanging="0"/>
        <w:jc w:val="left"/>
        <w:rPr/>
      </w:pPr>
      <w:r>
        <w:rPr/>
        <w:t>​</w:t>
      </w:r>
    </w:p>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business reputation and significant negative media attention;</w:t>
            </w:r>
          </w:p>
        </w:tc>
      </w:tr>
    </w:tbl>
    <w:p>
      <w:pPr>
        <w:pStyle w:val="TextBody"/>
        <w:bidi w:val="0"/>
        <w:spacing w:before="0" w:after="0"/>
        <w:ind w:left="0" w:right="0" w:hanging="0"/>
        <w:jc w:val="left"/>
        <w:rPr/>
      </w:pPr>
      <w:r>
        <w:rPr/>
        <w:t>​</w:t>
      </w:r>
    </w:p>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participants from our clinical trials;</w:t>
            </w:r>
          </w:p>
        </w:tc>
      </w:tr>
    </w:tbl>
    <w:p>
      <w:pPr>
        <w:pStyle w:val="TextBody"/>
        <w:bidi w:val="0"/>
        <w:spacing w:before="0" w:after="0"/>
        <w:ind w:left="0" w:right="0" w:hanging="0"/>
        <w:jc w:val="left"/>
        <w:rPr/>
      </w:pPr>
      <w:r>
        <w:rPr/>
        <w:t>​</w:t>
      </w:r>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time, costs and diversion of management resources to defend the related litigation;</w:t>
            </w:r>
          </w:p>
        </w:tc>
      </w:tr>
    </w:tbl>
    <w:p>
      <w:pPr>
        <w:pStyle w:val="TextBody"/>
        <w:bidi w:val="0"/>
        <w:spacing w:before="0" w:after="0"/>
        <w:ind w:left="0" w:right="0" w:hanging="0"/>
        <w:jc w:val="left"/>
        <w:rPr/>
      </w:pPr>
      <w:r>
        <w:rPr/>
        <w:t>​</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bl>
    <w:p>
      <w:pPr>
        <w:pStyle w:val="TextBody"/>
        <w:bidi w:val="0"/>
        <w:spacing w:before="0" w:after="0"/>
        <w:ind w:left="0" w:right="0" w:hanging="0"/>
        <w:jc w:val="left"/>
        <w:rPr/>
      </w:pPr>
      <w:r>
        <w:rPr/>
        <w:t>​</w:t>
      </w:r>
    </w:p>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commercialize our product candidates;</w:t>
            </w:r>
          </w:p>
        </w:tc>
      </w:tr>
    </w:tbl>
    <w:p>
      <w:pPr>
        <w:pStyle w:val="TextBody"/>
        <w:bidi w:val="0"/>
        <w:spacing w:before="0" w:after="0"/>
        <w:ind w:left="0" w:right="0" w:hanging="0"/>
        <w:jc w:val="left"/>
        <w:rPr/>
      </w:pPr>
      <w:r>
        <w:rPr/>
        <w:t>​</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p>
      <w:pPr>
        <w:pStyle w:val="TextBody"/>
        <w:bidi w:val="0"/>
        <w:spacing w:before="0" w:after="0"/>
        <w:ind w:left="0" w:right="0" w:hanging="0"/>
        <w:jc w:val="left"/>
        <w:rPr/>
      </w:pPr>
      <w:r>
        <w:rPr/>
        <w:t>​</w:t>
      </w:r>
    </w:p>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 if approved for commercial sale; and</w:t>
            </w:r>
          </w:p>
        </w:tc>
      </w:tr>
    </w:tbl>
    <w:p>
      <w:pPr>
        <w:pStyle w:val="TextBody"/>
        <w:bidi w:val="0"/>
        <w:spacing w:before="0" w:after="0"/>
        <w:ind w:left="0" w:right="0" w:hanging="0"/>
        <w:jc w:val="left"/>
        <w:rPr/>
      </w:pPr>
      <w:r>
        <w:rPr/>
        <w:t>​</w:t>
      </w:r>
    </w:p>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insurance policies are expensive and protect us only from some business risks, which leaves us exposed to significant uninsured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carry insurance for all categories of risk that our business may encounter. Some of the policies we currently maintain include general liability, clinical product and clinical trial liability, employment practices liability, property, transit, auto, workers’ compensation, umbrella, cyber and directors’ and officers’ insurance. Any additional product liability insurance coverage we acquire in the future may not be sufficient to reimburse us for any expenses or losses we may suffer. Moreover, insurance coverage is becoming increasingly expensive and restrictive, and in the future we may not be able to maintain insurance coverage at a reasonable cost or in sufficient amounts to protect us against losses due to liability. If we obtain marketing approval for our product candidates or manufacture commercial products for third parties, we intend to acquire insurance coverage to include, as necessary, the sale, manufacture and supply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Operating as a public company may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If we are unable to maintain existing insurance with adequate levels of coverage, any significant uninsured liability may require us to pay substantial amounts, which would adversely affect our cash position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employees and independent contractors, including consultants, vendors, and any third parties we may engage in connection with development and commercialization may engage in misconduct or other improper activities, including noncompliance with regulatory standards and requirements, which could harm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Misconduct by our employees and independent contractors, including consultants, vendors, and any third parties we may engage in connection with development and commercialization, could include intentional, reckless or negligent conduct or unauthorized activities that violate: (i) applicable laws and regulations of the FDA, MHRA, EMA and other regulatory or governmental authorities, including those laws that require the reporting of true, complete and accurate information to such authorities; (ii) manufacturing standards; (iii) data privacy and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before="0" w:after="0"/>
        <w:ind w:left="60" w:right="43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may suffer in the event of system failures and our systems and those of our business partners and service providers may be vulnerable to cybersecurity risks.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information technology, or IT, systems, including manufacturing systems, as well as those of our business partners and service providers, are vulnerable to damage from computer viruses, unauthorized access, hardware and software failures, natural disasters, terrorism, war and telecommunication and electrical failures. If such an event were to occur, it could result in a material disruption of our product candidate development programs or manufacturing operations. For example, the loss of preclinical study or clinical trial data from completed, ongoing or planned trials could result in delays in our regulatory approval efforts and significantly increase our costs to recover or reproduce the data. A significant interruption to our manufacturing operations could delay the completion of clinical trials and increase the costs of those trials, or impede our ability to meet any anticipated third party supply obligations. To the extent that any disruption or security breach were to result in a loss of or damage to our data or applications, or inappropriate disclosure of personal, confidential or proprietary information, we could incur liabilities and the further development of our product candidates could be delayed.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our business, we, our business partners and our service providers collect, process and store sensitive data, including intellectual property, clinical trial data, proprietary business information, personal data and personally identifiable information of our clinical trial subjects and employees. The secure processing, maintenance and transmission of this information is critical to our operations. Increased cybersecurity threats pose a risk to this information, in addition to our and our business partners’ and service providers’ systems and networks. Cybersecurity threats including state-sponsored attacks, ransomware, phishing, insider threats, supply chain compromises, and vulnerabilities in cloud-based services, are increasing in frequency, sophistication, persistence and severity. Attackers, ranging from criminal organizations to nation-state actors, may target our systems for financial, competitive, or political motives. We may also face increased cybersecurity risks due to our reliance on internet technology and by allowing some of our employees to work remotely, which may create additional opportunities for cybercriminals to exploit vulnerabilities. Furthermore, because the techniques used to obtain unauthorized access to, or to sabotage, systems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0" w:after="0"/>
        <w:ind w:left="60" w:right="59" w:firstLine="583"/>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Despite our security measures, our IT and infrastructure may be vulnerable to cyber-attacks by hackers or internal bad actors, or breached due to employee error, a technical vulnerability, malfeasance or other disruptions that could have a negative impact, including loss or destruction of data, including confidential or critical business information. In addition, there can be no assurance that our cybersecurity risk management program and processes, including our policies, controls or procedures, will be fully effective in protecting our systems and information. Although, to our knowledge, we have not experienced any such material security breach to date, we may experience cybersecurity incidents such as malware infections, ransomware, phishing attempts, thefts of personal, confidential, proprietary or other critical business information and other attempts at compromising our IT that are typical for a company of our size in our market. Any security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significant regulatory penalties, and such an event could disrupt our operations, damage our reputation, result in significant expenses in implementing future security measures and cause a loss of confidence in us and our ability to conduct clinical trials, which could adversely affect our reputation and financial results, and delay clinical development of our product candidates.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use or anticipated use of new and evolving technologies, such as artificial intelligence (“AI”), by us or third parties may increase or create new operational risks.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in the past and will in the future integrate new and evolving technologies, such as AI, into our business. AI technologies offer numerous potential benefits, such as creating or increasing operational efficiencies, and we expect an increase in the use of AI and generative AI by us, third parties on our behalf, and other market actors, including our competitors. For example, as part of our strategic collaboration, Hologen will contribute its proprietary multi-modal generative AI foundation models (LMMs) to the joint venture to develop the Clinical Programs and the Delivery Device, as well as deploy their AI capabilities to further accelerate the optimization of our proprietary manufacturing capabilities. However, the deployment of such technologies also poses certain risks, including that the algorithms may be flawed, misused or otherwise function in an unexpected manner; data sets may be insufficient, of poor quality, or contain biased information; and inappropriate or controversial data practices by data scientists, engineers, and end-users could impair results. In addition, use of personal data in generative AI technologies is subject to various privacy laws and other privacy obligations in certain jurisdictions. Governments have passed and may pass additional laws regulating generative AI. The introduction of AI technologies into our operations may potentially result in new or enhanced governmental or regulatory scrutiny, litigation, confidentiality or security risks or other complications. The regulatory landscape governing AI technologies is evolving rapidly, and changes in laws, regulations or enforcement practices may potentially impose new compliance requirements, restrict certain AI applications or increase regulatory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the analyses that AI-based applications assist in producing are or are perceived to be deficient, inaccurate or biased, we could be subjected to competitive harm, potential legal liability and brand or reputational harm. Our competitors may also adopt AI or generative AI more quickly or more effectively than we do, which could cause competitive harm. Furthermore, use of AI-based software may lead to the unauthorized disclosure of confidential information which may impact our ability to realize the benefits of our intellectual property.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rapid evolution of AI will require the application of significant resources to design, develop, test, oversee and maintain our products and services to help ensure that AI is implemented in accordance with applicable law and regulation and in a socially responsible manner and to minimize any real or perceived unintended harmful impacts. Our vendors or partners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market price of our ordinary shares may be volatile and fluctuate substantially, which could result in substantial losses for purchasers of our ordinary shares.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share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ordinary shares at or above your purchase price. The market price for our ordinary shares may be influenced by many factors, including:</w:t>
      </w:r>
    </w:p>
    <w:p>
      <w:pPr>
        <w:pStyle w:val="TextBody"/>
        <w:bidi w:val="0"/>
        <w:spacing w:before="0" w:after="0"/>
        <w:ind w:left="0" w:right="0" w:hanging="0"/>
        <w:jc w:val="left"/>
        <w:rPr/>
      </w:pPr>
      <w:r>
        <w:rPr/>
        <w:t>​</w:t>
      </w:r>
    </w:p>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bl>
    <w:p>
      <w:pPr>
        <w:pStyle w:val="TextBody"/>
        <w:bidi w:val="0"/>
        <w:spacing w:before="0" w:after="0"/>
        <w:ind w:left="0" w:right="0" w:hanging="0"/>
        <w:jc w:val="left"/>
        <w:rPr/>
      </w:pPr>
      <w:r>
        <w:rPr/>
        <w:t>​</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expected changes in our growth rate relative to our competitors;</w:t>
            </w:r>
          </w:p>
        </w:tc>
      </w:tr>
    </w:tbl>
    <w:p>
      <w:pPr>
        <w:pStyle w:val="TextBody"/>
        <w:bidi w:val="0"/>
        <w:spacing w:before="0" w:after="0"/>
        <w:ind w:left="0" w:right="0" w:hanging="0"/>
        <w:jc w:val="left"/>
        <w:rPr/>
      </w:pPr>
      <w:r>
        <w:rPr/>
        <w:t>​</w:t>
      </w:r>
    </w:p>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product candidates or those of our competitors;</w:t>
            </w:r>
          </w:p>
        </w:tc>
      </w:tr>
    </w:tbl>
    <w:p>
      <w:pPr>
        <w:pStyle w:val="TextBody"/>
        <w:bidi w:val="0"/>
        <w:spacing w:before="0" w:after="0"/>
        <w:ind w:left="0" w:right="0" w:hanging="0"/>
        <w:jc w:val="left"/>
        <w:rPr/>
      </w:pPr>
      <w:r>
        <w:rPr/>
        <w:t>​</w:t>
      </w:r>
    </w:p>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related to our existing or any future collaborations;</w:t>
            </w:r>
          </w:p>
        </w:tc>
      </w:tr>
    </w:tbl>
    <w:p>
      <w:pPr>
        <w:pStyle w:val="TextBody"/>
        <w:bidi w:val="0"/>
        <w:spacing w:before="0" w:after="0"/>
        <w:ind w:left="0" w:right="0" w:hanging="0"/>
        <w:jc w:val="left"/>
        <w:rPr/>
      </w:pPr>
      <w:r>
        <w:rPr/>
        <w:t>​</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product candidates that may address our markets and make our product candidates less attractive;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9775" w:type="dxa"/>
        <w:jc w:val="left"/>
        <w:tblInd w:w="0" w:type="dxa"/>
        <w:tblLayout w:type="fixed"/>
        <w:tblCellMar>
          <w:top w:w="28" w:type="dxa"/>
          <w:left w:w="28" w:type="dxa"/>
          <w:bottom w:w="28" w:type="dxa"/>
          <w:right w:w="28" w:type="dxa"/>
        </w:tblCellMar>
      </w:tblPr>
      <w:tblGrid>
        <w:gridCol w:w="124"/>
        <w:gridCol w:w="256"/>
        <w:gridCol w:w="92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physician, hospital or healthcare provider practices that may make our product candidates less useful;</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our partners or our competitors of significant acquisitions, strategic partnerships, joint ventures, collaborations or capital commitments;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potential strategic transactions related to our assets;</w:t>
            </w:r>
          </w:p>
        </w:tc>
      </w:tr>
    </w:tbl>
    <w:p>
      <w:pPr>
        <w:pStyle w:val="TextBody"/>
        <w:bidi w:val="0"/>
        <w:spacing w:before="0" w:after="0"/>
        <w:ind w:left="0" w:right="0" w:hanging="0"/>
        <w:jc w:val="left"/>
        <w:rPr/>
      </w:pPr>
      <w:r>
        <w:rPr/>
        <w:t>​</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p>
      <w:pPr>
        <w:pStyle w:val="TextBody"/>
        <w:bidi w:val="0"/>
        <w:spacing w:before="0" w:after="0"/>
        <w:ind w:left="0" w:right="0" w:hanging="0"/>
        <w:jc w:val="left"/>
        <w:rPr/>
      </w:pPr>
      <w:r>
        <w:rPr/>
        <w:t>​</w:t>
      </w:r>
    </w:p>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p>
      <w:pPr>
        <w:pStyle w:val="TextBody"/>
        <w:bidi w:val="0"/>
        <w:spacing w:before="0" w:after="0"/>
        <w:ind w:left="0" w:right="0" w:hanging="0"/>
        <w:jc w:val="left"/>
        <w:rPr/>
      </w:pPr>
      <w:r>
        <w:rPr/>
        <w:t>​</w:t>
      </w:r>
    </w:p>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product candidates or clinical development programs;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estimates and projections of the investment community or that we provide to the public;</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9475" w:type="dxa"/>
        <w:jc w:val="left"/>
        <w:tblInd w:w="0" w:type="dxa"/>
        <w:tblLayout w:type="fixed"/>
        <w:tblCellMar>
          <w:top w:w="28" w:type="dxa"/>
          <w:left w:w="28" w:type="dxa"/>
          <w:bottom w:w="28" w:type="dxa"/>
          <w:right w:w="28" w:type="dxa"/>
        </w:tblCellMar>
      </w:tblPr>
      <w:tblGrid>
        <w:gridCol w:w="124"/>
        <w:gridCol w:w="256"/>
        <w:gridCol w:w="89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product candidates or products;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expected changes in estimates as to financial results, development timelines, recommendations by securities analysts or shifting investor perceptions;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p>
      <w:pPr>
        <w:pStyle w:val="TextBody"/>
        <w:bidi w:val="0"/>
        <w:spacing w:before="0" w:after="0"/>
        <w:ind w:left="0" w:right="0" w:hanging="0"/>
        <w:jc w:val="left"/>
        <w:rPr/>
      </w:pPr>
      <w:r>
        <w:rPr/>
        <w:t>​</w:t>
      </w:r>
    </w:p>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p>
      <w:pPr>
        <w:pStyle w:val="TextBody"/>
        <w:bidi w:val="0"/>
        <w:spacing w:before="0" w:after="0"/>
        <w:ind w:left="0" w:right="0" w:hanging="0"/>
        <w:jc w:val="left"/>
        <w:rPr/>
      </w:pPr>
      <w:r>
        <w:rPr/>
        <w:t>​</w:t>
      </w:r>
    </w:p>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w:t>
            </w:r>
          </w:p>
        </w:tc>
      </w:tr>
    </w:tbl>
    <w:p>
      <w:pPr>
        <w:pStyle w:val="TextBody"/>
        <w:bidi w:val="0"/>
        <w:spacing w:before="0" w:after="0"/>
        <w:ind w:left="0" w:right="0" w:hanging="0"/>
        <w:jc w:val="left"/>
        <w:rPr/>
      </w:pPr>
      <w:r>
        <w:rPr/>
        <w:t>​</w:t>
      </w:r>
    </w:p>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and</w:t>
            </w:r>
          </w:p>
        </w:tc>
      </w:tr>
    </w:tbl>
    <w:p>
      <w:pPr>
        <w:pStyle w:val="TextBody"/>
        <w:bidi w:val="0"/>
        <w:spacing w:before="0" w:after="0"/>
        <w:ind w:left="0" w:right="0" w:hanging="0"/>
        <w:jc w:val="left"/>
        <w:rPr/>
      </w:pPr>
      <w:r>
        <w:rPr/>
        <w:t>​</w:t>
      </w:r>
    </w:p>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“Item 1A. Risk Factors” section and elsewhere in this Form 10-Q.</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stock market in general, and Nasdaq and biopharmaceutical companies in particular, have experienced extreme price and volume fluctuations that have often been unrelated or disproportionate to the operating performance of these companies. In the past, when the market price of a security has been volatile, holders of that security have sometimes instituted securities class action litigation against the issuer. This risk is especially relevant for us because biopharmaceutical companies have experienced significant stock price volatility in recent years. If any of the holders of our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Broad market and industry factors may negatively affect the market price of our ordinary shares, as well as general economic, political and market conditions such as recessions, interest rate changes or international currency fluctuations, regardless of our actual operating performance. Further, a decline in the financial markets and related factors beyond our control may cause the price of our ordinary shares to decline rapidly and unexpectedly. If the market price of our ordinary shares does not exceed your purchase price, you may not realize any return on your investment in us and may lose some or all of your investment.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We may raise additional capital pursuant to our shelf registration statement, including through our </w:t>
      </w:r>
      <w:r>
        <w:rPr>
          <w:rFonts w:ascii="Times New Roman;Times;serif" w:hAnsi="Times New Roman;Times;serif"/>
          <w:sz w:val="20"/>
        </w:rPr>
        <w:t>“</w:t>
      </w:r>
      <w:r>
        <w:rPr>
          <w:rFonts w:ascii="Times New Roman;Times;serif" w:hAnsi="Times New Roman;Times;serif"/>
          <w:b/>
          <w:i/>
          <w:sz w:val="20"/>
        </w:rPr>
        <w:t>at-the-market” offering program, or through additional public or private placements, any of which could substantially dilute the investment of our stockholders.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of a substantial number of our ordinary shares in the public market could dilute your ownership interest. Pursuant to an “at-the-market” sales agreement we entered into with BofA Securities, Inc., or BofA, in December 2023, we may sell from time to time, ordinary shares having an aggregate offering price of up to $100.0 million through BofA, acting as our agent. During the six-month period ended June 30, 2026, we raised gross proceeds of $28.2 million through the sale of 3,164,365 ordinary shares pursuant to an “at-the-market” equity offering program. Whether we choose to affect future sales under the “at-the-market” equity offering program will depend on a number of factors, including, among others, market conditions and the trading price of our ordinary shares relative to other sources of capital. The issuance from time to time of ordinary shares through our “at-the-market” equity offering program or in any other equity offering, or the perception that such sales may occur, could have the effect of depressing the market price of our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and principal shareholders, if they choose to act together, have the ability to significantly influence all matters submitted to shareholders for approval.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July 31, 2026, our executive officers, directors and shareholders who owned more than 5% of our outstanding ordinary shares and their respective affiliates, in the aggregate, hold ordinary shares representing approximately 47.6% of our outstanding ordinary shares. In addition, an affiliate of Perceptive Advisors LLC, our largest shareholder that employs a director serving on our board, holds warrants to purchase an aggregate of 700,000 of our ordinary shares.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if these shareholders choose to act together, they would be able to significantly influence all matters submitted to our shareholders for approval, as well as our management and affairs. For example, these persons, if they choose to act together, would significantly influence the election of directors, the composition of our management and approval of any merger, consolidation, sale of all or substantially all of our assets or other business combination that other shareholders may desire. Any of these actions could adversely affect the market price of our ordinary shares.</w:t>
      </w:r>
    </w:p>
    <w:p>
      <w:pPr>
        <w:pStyle w:val="TextBody"/>
        <w:bidi w:val="0"/>
        <w:spacing w:before="0" w:after="0"/>
        <w:ind w:left="60" w:right="239"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and the reduced disclosure requirements applicable to smaller reporting companies may make our ordinary shares less attractive to investors.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smaller reporting company, and we will remain a smaller reporting company until the fiscal year following the determination that our voting and non-voting ordinary shares held by non-affiliates is more than $250 million measured on the last business day of our second fiscal quarter, or our annual revenues are more than $100 million during the most recently completed fiscal year and our voting and non-voting ordinary shares held by non-affiliates is more than $700 million measured on the last business day of our second fiscal quarter. Smaller reporting companies are able to provide simplified executive compensation disclosure, are exempt from the auditor attestation requirements of Section 404, and have certain other reduced disclosure obligations, including, among other things, not being required to provide selected financial data, supplemental financial information or risk factors.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choose to take advantage of some, but not all, of the available exemptions for smaller reporting companies. We cannot predict whether investors will find our ordinary shares less attractive if we rely on these exemptions. If some investors find our ordinary shares less attractive as a result, there may be a less active trading market for our ordinary shares and our share price may be more volatile.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There may be difficulties in enforcing foreign judgments against our management or us.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directors and management reside outside the United States. A significant portion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federal securities laws of the United States.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particular, investors should be aware that there is uncertainty as to whether the courts of the Cayman Islands or any other applicable jurisdictions would recognize and enforce judgments of U.S. courts obtained against us or our directors or management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rights of our shareholders differ from the rights typically offered to shareholders of a U.S. corporation.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corporate affairs and the rights of holders of ordinary shares are governed by Cayman Islands law, including the provisions of the Cayman Islands Companies Act (as amended), or the Companies Act, the common law of the Cayman Islands and by our memorandum and articles of association.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pStyle w:val="TextBody"/>
        <w:bidi w:val="0"/>
        <w:spacing w:before="0" w:after="0"/>
        <w:ind w:left="0" w:right="7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expect to be treated as resident in the UK for tax purposes, but may be treated as a dual resident company for UK tax purposes.</w:t>
      </w:r>
    </w:p>
    <w:p>
      <w:pPr>
        <w:pStyle w:val="TextBody"/>
        <w:bidi w:val="0"/>
        <w:spacing w:before="0" w:after="0"/>
        <w:ind w:left="60" w:right="59" w:firstLine="583"/>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board of directors conducts our affairs so that the central management and control of the company is exercised in the UK. As a result, we expect to be treated as resident in the UK for UK tax purposes. Accordingly, we expect to be subject to UK taxation on our income and gains, except where an exemption applies.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However, we may be treated as a dual resident company for UK tax purposes. As a result, our right to claim certain reliefs from UK tax may be restricted, and changes in law or practice in the UK could result in the imposition of further restrictions on our right to claim UK tax reliefs.</w:t>
      </w:r>
    </w:p>
    <w:p>
      <w:pPr>
        <w:pStyle w:val="TextBody"/>
        <w:bidi w:val="0"/>
        <w:spacing w:before="0" w:after="0"/>
        <w:ind w:left="60" w:right="31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classified as a passive foreign investment company, or PFIC, for U.S. federal income tax purposes, which could result in adverse U.S. federal income tax consequences to U.S. investors in our ordinary shares.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the current and anticipated value of our assets, including goodwill, and the current and anticipated composition of our income, assets and operations, we do not believe we were a PFIC for the taxable year ended on December 31, 2025, and do not expect to be a PFIC for the current taxable year. However, the application of the PFIC rules is subject to uncertainty in several respects, and we cannot assure you that the U.S. Internal Revenue Service, or the IRS, will not take a contrary position. Furthermore, a separate determination must be made after the close of each taxable year as to whether we are a PFIC for that year. Accordingly, we cannot assure you that we were not a PFIC for our taxable year ended on December 31, 2025 or that we will not be a PFIC for our current taxable year or any future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The value of our assets generally is determined by reference to the market price of our ordinary shares, which may fluctuate considerably. In addition, the composition of our income and assets is affected by how, and how quickly, we spend any cash we raise. If we were to be classified as a PFIC for any taxable year during which a U.S. holder holds our ordinary shares, certain materially adverse U.S. federal income tax consequences could apply to such U.S. holder.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a United States person is treated as owning at least 10% of our ordinary shares, such holder may be subject to adverse U.S. federal income tax consequences.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a U.S. holder of our ordinary shares is treated as owning (directly, indirectly or constructively) at least 10% of the value or voting power of our ordinary shares, such U.S. holder may be treated as a “United States shareholder” with respect to each “controlled foreign corporation” in our group (if any). If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from starting with respect to your U.S. federal income tax return for the year for which reporting was due. We cannot provide any assurances that we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assist investors in determining whether any of our non-U.S. subsidiaries is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of our ordinary shares should consult their tax advisors regarding the potential application of these rules to their investment in our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tax laws or challenges to our tax position could adversely affect our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complex tax laws that are subject to change or differing interpretations, including on a retroactive basis. Any such changes in tax laws, regulations and treaties, or the interpretation thereof, tax policy initiatives and reforms under consideration and the practices of tax authorities in jurisdictions in which we operate could adversely affect our tax position, including our effective tax rate or tax payments.</w:t>
      </w:r>
    </w:p>
    <w:p>
      <w:pPr>
        <w:pStyle w:val="TextBody"/>
        <w:bidi w:val="0"/>
        <w:spacing w:before="0" w:after="0"/>
        <w:ind w:left="60" w:right="7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significant U.S. federal and state net operating losses, or NOLs, and UK and Ireland carryforward tax losses which we may not be able to realize or which may be restricted under applicable law. We also benefit from certain tax incentive regimes, such as research and development tax credits. Any adverse change to these regimes, the application thereof or challenges to the tax position we have adopted under these rules could adversely affect our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we had federal and state NOL carryforwards in the United States of $163.5 million and $23.4 million, respectively, and cumulative carryforward tax losses in the UK of $196.0 million, which we expect to be available to reduce future taxable income subject to any relevant restrictions (including those in the U.S. and UK that limit the percentage of taxable income that can be reduced by NOLs and carried forward losses). As of December 31, 2025, cumulative carryforward tax losses in Ireland were $118.1 million. U.S. federal NOLs generated after December 31, 2017 are not subject to expiration but such NOLs may only offset 80% of taxable income for taxable years beginning after December 31, 2020. U.S. federal NOLs generated prior to December 31, 2017 may only be carried forward for 20 years. As of December 31, 2025, we also had orphan drug and research and development credits in the U.S. in the amount of $27.2 million, both of which may be carried forward for 20 years and are expected to begin expiring in 2035 if not utilized. We also had research and development credits in the UK of $5.9 million, which may be carried forward indefinitely until utilized. The UK and Ireland carryforward tax losses will continue indefinitely, subject to relevant restrictions, under current jurisdictional tax law.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NOLs and carryforward tax losses are subject to review and possible adjustment by the applicable tax authorities. Additionally, carryforward tax losses, and research and development tax credits, may become subject to limitations in the event of certain cumulative changes in the ownership interest of significant shareholders, as determined under Sections 382 of the United States Internal Revenue Code, as well as the Corporation Tax Act 2010 Part 14 under the UK tax rules and the Taxes Consolidation Act 1997 (TCA 1997) under the Ireland tax rules. This could limit the amount of NOLs or carryforward tax losses that we can utilize annually to offset future taxable income or tax liabilities. We have conducted a review of changes in the ownership interest of significant shareholders and determined that as of December 2024, there were no limitations in the UK. However, for U.S. purposes, we determined that a change of ownership occurred in April 2016 and again in June 2018, but there was not a limit for utilizing these losses to offset the 2022 income. We have performed a 382 analysis through December 2024 and no additional change of ownership has occurred. Subsequent ownership changes and changes to the U.S. federal or state or UK tax rules in respect of the utilization of NOLs and carryforward tax losses may further affect the limitation in future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may engage in acquisitions that could disrupt our business, cause dilution to our shareholders or reduce our financial resources. </w:t>
      </w:r>
    </w:p>
    <w:p>
      <w:pPr>
        <w:pStyle w:val="TextBody"/>
        <w:bidi w:val="0"/>
        <w:spacing w:before="0" w:after="0"/>
        <w:ind w:left="60" w:right="659" w:firstLine="6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and may in the future, enter into transactions to acquire other businesses, products or technologies. For example, in July 2025, we acquired through a French insolvency proceeding certain assets, operations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employees of Smart Immune, a French clinical-stage biotechnology company that developed ProTcell, a T-cell progenitor-based cell therapy platform that harnesses the patient’s own thymus to rapidly re-arm the immune system against a wide range of potential conditions, including cancer and autoimmune conditions. We may not be able to successfully integrate these acquired assets, operations and personnel into our existing business in an effective, timely and nondisruptive manner.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ordinary shares or other equity securities to the shareholders of the acquired company, which would reduce the percentage ownership of our existing shareholders. We could incur losses resulting from undiscovered liabilities of the acquired business that are not covered by the indemnification we may obtain from the seller.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 </w:t>
      </w:r>
    </w:p>
    <w:p>
      <w:pPr>
        <w:pStyle w:val="TextBody"/>
        <w:bidi w:val="0"/>
        <w:spacing w:before="0" w:after="0"/>
        <w:ind w:left="60" w:right="65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Exchange rate fluctuations may adversely affect our results of operations and financial condition. </w:t>
      </w:r>
    </w:p>
    <w:p>
      <w:pPr>
        <w:pStyle w:val="TextBody"/>
        <w:bidi w:val="0"/>
        <w:spacing w:before="0" w:after="0"/>
        <w:ind w:left="58" w:right="662"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Owing to the international scope of our operations, fluctuations in exchange rates may adversely affect us, particularly between the U.S. dollar on the one hand, and the pound sterling and euro on the other hand. As a result, our business and the market price of our securities may be affected by such fluctuations, which may have a significant impact on our results of operations and cash flows from period to period. Currently, we do not have any exchange rate hedging arrangements in place. </w:t>
      </w:r>
    </w:p>
    <w:p>
      <w:pPr>
        <w:pStyle w:val="TextBody"/>
        <w:bidi w:val="0"/>
        <w:spacing w:before="0" w:after="0"/>
        <w:ind w:left="60" w:right="65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Our management team has broad discretion as to the use of the net proceeds from public and private equity or debt financings and the investment of these proceeds may not yield a favorable return. We may invest the proceeds in ways with which our shareholders disagree. </w:t>
      </w:r>
    </w:p>
    <w:p>
      <w:pPr>
        <w:pStyle w:val="TextBody"/>
        <w:bidi w:val="0"/>
        <w:spacing w:before="0" w:after="0"/>
        <w:ind w:left="60" w:right="659"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broad discretion in the application of any net proceeds we have received in the past or may receive in the future pursuant to existing or future equity and debt financings, including under our “at-the-market” equity offering program. Shareholders may not agree with our decisions, and our use of the proceeds and our existing cash and cash equivalents may not improve our results of operation or enhance the value of our ordinary shares. Our ability to apply certain proceeds may be restricted. For example, in April 2026, we conducted an equity financing by selling 11.1 million ordinary shares at a price of $9.00 per share for gross proceeds of approximately $100.0 million. Our failure to apply any such funds effectively could have a material adverse effect on our business, delay the development of our product candidates and cause the market price of our ordinary shares to decline. In addition, until the net proceeds are used, they may be placed in investments that do not produce significant income or that may lose value. Additionally, our existing cash and cash equivalents are subject to general credit, liquidity, market and interest rate risks, which have been and may, in the future, be exacerbated by a U.S. and/or global financial crises. We may realize losses in the fair value of certain of our investments or a complete loss of these investments if the credit markets tighten, which would have an adverse effect on our results of operations, liquidity and financial condition. </w:t>
      </w:r>
    </w:p>
    <w:p>
      <w:pPr>
        <w:pStyle w:val="TextBody"/>
        <w:bidi w:val="0"/>
        <w:spacing w:before="0" w:after="0"/>
        <w:ind w:left="60" w:right="65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incur substantial costs as a result of operating as a public company, and our management is required to devote substantial time to new and existing compliance initiatives and corporate governance practices. </w:t>
      </w:r>
    </w:p>
    <w:p>
      <w:pPr>
        <w:pStyle w:val="TextBody"/>
        <w:bidi w:val="0"/>
        <w:spacing w:before="0" w:after="0"/>
        <w:ind w:left="60" w:right="659" w:firstLine="6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public company, we incur and will continue to incur significant legal, accounting and other expenses. The Sarbanes-Oxley Act of 2002, the Dodd-Frank Wall Street Reform and Consumer Protection Act, The Nasdaq Global Select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w:t>
      </w:r>
    </w:p>
    <w:p>
      <w:pPr>
        <w:pStyle w:val="TextBody"/>
        <w:bidi w:val="0"/>
        <w:spacing w:before="0" w:after="0"/>
        <w:ind w:left="60" w:right="76" w:firstLine="6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Section 404 of the Sarbanes-Oxley Act of 2002, or Section 404, we are required to furnish a report by our management on our internal control over financial reporting. However, while we are a non-accelerated filer, we will not be required to include an attestation report on internal control over financial reporting issued by our independent registered public accounting firm. To achieve compliance with Section 404, we engage in a process to document and evaluate our internal control over financial reporting, which is both costly and challenging. In this regard, we will need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or our independent registered public accounting firm, if we no longer qualify as a non-accelerated filer, will not be able to conclude that our internal control over financial reporting is effective as required by Section 404.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identify one or more material weaknesses or determine we have inadequate internal controls, it could result in an adverse reaction in the financial markets due to a loss of confidence in the reliability of our financial statements. </w:t>
      </w:r>
    </w:p>
    <w:p>
      <w:pPr>
        <w:pStyle w:val="TextBody"/>
        <w:bidi w:val="0"/>
        <w:spacing w:before="0" w:after="0"/>
        <w:ind w:left="60" w:right="65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securities or industry analysts cease to publish research or reports about our business, or if they issue an adverse or misleading opinion regarding our ordinary shares, our share price and trading volume could decline. </w:t>
      </w:r>
    </w:p>
    <w:p>
      <w:pPr>
        <w:pStyle w:val="TextBody"/>
        <w:bidi w:val="0"/>
        <w:spacing w:before="0" w:after="0"/>
        <w:ind w:left="60" w:right="659"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trading market for our ordinary shares relies in part on the research and reports that industry or securities analysts publish about us or our business. We do not control these analysts. Furthermore, if any of the analysts who cover us issue an adverse or misleading opinion regarding us, our business model, our intellectual property or our share performance, or if any of our preclinical studies or clinical trials and operating results fail to meet the expectations of analysts, our share price would likely decline. If one or more of these analysts ceases coverage of us or fails to publish reports on us regularly, we could lose visibility in the financial markets, which in turn could cause our share price or trading volume to decline. </w:t>
      </w:r>
    </w:p>
    <w:p>
      <w:pPr>
        <w:pStyle w:val="TextBody"/>
        <w:bidi w:val="0"/>
        <w:spacing w:before="0" w:after="0"/>
        <w:ind w:left="60" w:right="65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Expectations relating to environmental, social and governance factors may impose additional costs and expose us to new risks. </w:t>
      </w:r>
    </w:p>
    <w:p>
      <w:pPr>
        <w:pStyle w:val="TextBody"/>
        <w:bidi w:val="0"/>
        <w:spacing w:before="0" w:after="0"/>
        <w:ind w:left="60" w:right="659"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has been a focus in recent years by the SEC, foreign regulators, stock exchanges, certain investors and other stakeholders concerning corporate responsibility, specifically related to environmental, social and governance factors. Although the SEC adopted climate-related disclosure rules in 2024, those rules were stayed pending litigation and, in May 2026, the SEC proposed rescinding the rules in their entirety. Corporate sustainability rules in Europe also have been scaled back. As a result, the regulatory environment relating to climate-related disclosures remains subject to significant uncertainty. Nevertheless, some investors may use these and other environmental, social and governance factors to guide their investment strategies and, in some cases, may choose not to invest in us if they believe our policies and disclosures relating to corporate responsibility are inadequate. Third-party providers of corporate responsibility ratings and reports on companies have varied and in some cases inconsistent standards. In addition, the criteria by which companies’ corporate responsibility practices are assessed are evolving, which could result in greater expectations of us and cause us to undertake costly initiatives to satisfy such new criteria. Alternatively, if we elect not to or are unable to satisfy such new criteria or do not meet the criteria of a specific third-party provider, some investors may conclude that our policies with respect to corporate responsibility are insufficient. We may face reputational damage in the event that our corporate responsibility procedures or standards do not meet the standards set by various constituencies. Furthermore, if our competitors’ corporate responsibility performance is perceived to be greater than ours, potential or current investors may elect to invest with our competitors instead. In addition, in the event that we communicate or disclose certain initiatives and goals regarding environmental, social and governance matters, we could fail, or be perceived to fail, in our achievement of such initiatives or goals, or we could be criticized for the scope of such initiatives or goals or be subject to litigation for such failures. If we fail to satisfy the expectations of investors and other stakeholders or our initiatives are not executed as planned, our reputation and financial results could be adversely affected. </w:t>
      </w:r>
    </w:p>
    <w:p>
      <w:pPr>
        <w:pStyle w:val="TextBody"/>
        <w:bidi w:val="0"/>
        <w:spacing w:before="0" w:after="0"/>
        <w:ind w:left="0" w:right="659"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Because we do not anticipate paying any cash dividends on our ordinary shares in the foreseeable future, capital appreciation, if any, would be your sole source of gain. </w:t>
      </w:r>
    </w:p>
    <w:p>
      <w:pPr>
        <w:pStyle w:val="TextBody"/>
        <w:bidi w:val="0"/>
        <w:spacing w:before="0" w:after="0"/>
        <w:ind w:left="60" w:right="659"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Cayman Islands law, we may only make distributions by way of dividend out of profits, or out of our share premium account (provided that immediately following the date that the dividend is proposed to be paid we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able to pay our debts as they fall due in the ordinary course of business). 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In addition, the Royalty Note Purchase Agreement prohibits us from paying cash dividends during its term and the terms of existing and future financing agreements may also preclude us from paying dividends. As a result, capital appreciation, if any, of our ordinary shares would be your sole source of gain on an investment in our ordinary shares for the foreseeable future. See the “Dividend Policy” section of our Form 10-K for the year ended December 31, 2025 previously filed with the SEC for additional information.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593" w:name="Item2UnregisteredSalesofEquitySecurities"/>
      <w:bookmarkStart w:id="1594" w:name="_43839ea0_e873_471e_a966_c9e44239f06c"/>
      <w:bookmarkEnd w:id="1593"/>
      <w:bookmarkEnd w:id="1594"/>
      <w:r>
        <w:rPr>
          <w:rFonts w:ascii="Times New Roman;Times;serif" w:hAnsi="Times New Roman;Times;serif"/>
          <w:b/>
          <w:sz w:val="20"/>
        </w:rPr>
        <w:t xml:space="preserve">Item 2. Unregistered Sales of Equity Securities, Use of Proceeds and Issuer Purchases of Equity Securities.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95" w:name="Item3DefaultsUponSeniorSecurities_54116"/>
      <w:bookmarkStart w:id="1596" w:name="_588f32b1_8bcc_4a4c_bc47_75abf07ec08c"/>
      <w:bookmarkEnd w:id="1595"/>
      <w:bookmarkEnd w:id="1596"/>
      <w:r>
        <w:rPr>
          <w:rFonts w:ascii="Times New Roman;Times;serif" w:hAnsi="Times New Roman;Times;serif"/>
          <w:b/>
          <w:sz w:val="20"/>
        </w:rPr>
        <w:t>Item 3. Defaults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597" w:name="Item4MineSafetyDisclosures_51301"/>
      <w:bookmarkStart w:id="1598" w:name="_fbd5fe58_c49a_44cb_ac2e_b0f06fcadf12"/>
      <w:bookmarkEnd w:id="1597"/>
      <w:bookmarkEnd w:id="1598"/>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599" w:name="Item5OtherInformation_145683"/>
      <w:bookmarkStart w:id="1600" w:name="_bdb6dc02_0193_4db2_8447_ec9387f57352"/>
      <w:bookmarkEnd w:id="1599"/>
      <w:bookmarkEnd w:id="1600"/>
      <w:r>
        <w:rPr>
          <w:rFonts w:ascii="Times New Roman;Times;serif" w:hAnsi="Times New Roman;Times;serif"/>
          <w:b/>
          <w:sz w:val="20"/>
        </w:rPr>
        <w:t>Item 5. Other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During the three months ended June 30, 2026, </w:t>
      </w:r>
      <w:r>
        <w:rPr>
          <w:rFonts w:ascii="Times New Roman;Times;serif" w:hAnsi="Times New Roman;Times;serif"/>
          <w:sz w:val="20"/>
        </w:rPr>
        <w:t>none</w:t>
      </w:r>
      <w:r>
        <w:rPr>
          <w:rFonts w:ascii="Times New Roman;Times;serif" w:hAnsi="Times New Roman;Times;serif"/>
          <w:sz w:val="20"/>
          <w:shd w:fill="FFFFFF" w:val="clear"/>
        </w:rPr>
        <w:t> of our directors or “officers” (as defined in Rule 16a-1(f) under the Exchange Act) </w:t>
      </w:r>
      <w:r>
        <w:rPr>
          <w:rFonts w:ascii="Times New Roman;Times;serif" w:hAnsi="Times New Roman;Times;serif"/>
          <w:sz w:val="20"/>
        </w:rPr>
        <w:t>adopted</w:t>
      </w:r>
      <w:r>
        <w:rPr>
          <w:rFonts w:ascii="Times New Roman;Times;serif" w:hAnsi="Times New Roman;Times;serif"/>
          <w:sz w:val="20"/>
          <w:shd w:fill="FFFFFF" w:val="clear"/>
        </w:rPr>
        <w:t>, </w:t>
      </w:r>
      <w:r>
        <w:rPr>
          <w:rFonts w:ascii="Times New Roman;Times;serif" w:hAnsi="Times New Roman;Times;serif"/>
          <w:sz w:val="20"/>
        </w:rPr>
        <w:t>modified</w:t>
      </w:r>
      <w:r>
        <w:rPr>
          <w:rFonts w:ascii="Times New Roman;Times;serif" w:hAnsi="Times New Roman;Times;serif"/>
          <w:sz w:val="20"/>
          <w:shd w:fill="FFFFFF" w:val="clear"/>
        </w:rPr>
        <w:t> or </w:t>
      </w:r>
      <w:r>
        <w:rPr>
          <w:rFonts w:ascii="Times New Roman;Times;serif" w:hAnsi="Times New Roman;Times;serif"/>
          <w:sz w:val="20"/>
        </w:rPr>
        <w:t>terminated</w:t>
      </w:r>
      <w:r>
        <w:rPr>
          <w:rFonts w:ascii="Times New Roman;Times;serif" w:hAnsi="Times New Roman;Times;serif"/>
          <w:sz w:val="20"/>
          <w:shd w:fill="FFFFFF" w:val="clear"/>
        </w:rPr>
        <w:t> a “Rule 10b5-1 trading arrangement” and/or “non-Rule 10b5-1 trading arrangement,” as each term is defined in Item 408(a) of Regulation S-K.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01" w:name="Item6Exhibits_373262"/>
      <w:bookmarkStart w:id="1602" w:name="_62821b69_df2d_4476_be9d_18ba65fd24df"/>
      <w:bookmarkEnd w:id="1601"/>
      <w:bookmarkEnd w:id="1602"/>
      <w:r>
        <w:rPr>
          <w:rFonts w:ascii="Times New Roman;Times;serif" w:hAnsi="Times New Roman;Times;serif"/>
          <w:b/>
          <w:sz w:val="20"/>
        </w:rPr>
        <w:t xml:space="preserve">Item 6. Exhibits. </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28" w:type="dxa"/>
          <w:right w:w="0" w:type="dxa"/>
        </w:tblCellMar>
      </w:tblPr>
      <w:tblGrid>
        <w:gridCol w:w="706"/>
        <w:gridCol w:w="346"/>
        <w:gridCol w:w="4110"/>
        <w:gridCol w:w="346"/>
        <w:gridCol w:w="511"/>
        <w:gridCol w:w="346"/>
        <w:gridCol w:w="700"/>
        <w:gridCol w:w="346"/>
        <w:gridCol w:w="631"/>
        <w:gridCol w:w="346"/>
        <w:gridCol w:w="552"/>
        <w:gridCol w:w="346"/>
        <w:gridCol w:w="919"/>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110" w:type="dxa"/>
            <w:tcBorders>
              <w:bottom w:val="single" w:sz="8" w:space="0" w:color="000000"/>
            </w:tcBorders>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5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7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63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55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Filing</w:t>
            </w:r>
            <w:r>
              <w:rPr>
                <w:rFonts w:ascii="Times New Roman;Times;serif" w:hAnsi="Times New Roman;Times;serif"/>
                <w:sz w:val="16"/>
              </w:rPr>
              <w:br/>
            </w:r>
            <w:r>
              <w:rPr>
                <w:rFonts w:ascii="Times New Roman;Times;serif" w:hAnsi="Times New Roman;Times;serif"/>
                <w:b/>
                <w:sz w:val="16"/>
              </w:rPr>
              <w:t>Date</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91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Filed/Furnished</w:t>
            </w:r>
            <w:r>
              <w:rPr>
                <w:rFonts w:ascii="Times New Roman;Times;serif" w:hAnsi="Times New Roman;Times;serif"/>
                <w:sz w:val="16"/>
              </w:rPr>
              <w:br/>
            </w:r>
            <w:r>
              <w:rPr>
                <w:rFonts w:ascii="Times New Roman;Times;serif" w:hAnsi="Times New Roman;Times;serif"/>
                <w:b/>
                <w:sz w:val="16"/>
              </w:rPr>
              <w:t>Herewith</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20"/>
                <w:shd w:fill="FFFFFF" w:val="clea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2">
              <w:r>
                <w:rPr>
                  <w:rStyle w:val="InternetLink"/>
                  <w:rFonts w:ascii="Times New Roman;Times;serif" w:hAnsi="Times New Roman;Times;serif"/>
                  <w:b w:val="false"/>
                  <w:i w:val="false"/>
                  <w:caps w:val="false"/>
                  <w:smallCaps w:val="false"/>
                  <w:sz w:val="20"/>
                </w:rPr>
                <w:t>Asset Purchase Agreement, dated April 15, 2026, by and among Janssen Pharmaceuticals, Inc., MeiraGTx Ocular UK Limited and MeiraGTx Holdings plc.</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4/16/26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r>
              <w:rPr>
                <w:rFonts w:ascii="Times New Roman;Times;serif" w:hAnsi="Times New Roman;Times;serif"/>
                <w:sz w:val="20"/>
                <w:shd w:fill="FFFFFF" w:val="clea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3">
              <w:r>
                <w:rPr>
                  <w:rStyle w:val="InternetLink"/>
                  <w:rFonts w:ascii="Times New Roman;Times;serif" w:hAnsi="Times New Roman;Times;serif"/>
                  <w:b w:val="false"/>
                  <w:i w:val="false"/>
                  <w:caps w:val="false"/>
                  <w:smallCaps w:val="false"/>
                  <w:sz w:val="20"/>
                </w:rPr>
                <w:t>Second Termination Agreement, dated April 15, 2026, by and among Janssen Pharmaceuticals, Inc., MeiraGTx UK II Limited, MeiraGTx Holdings plc and MeiraGTx Ocular UK Limited.</w:t>
              </w:r>
            </w:hyperlink>
            <w:r>
              <w:rPr>
                <w:rFonts w:ascii="Times New Roman;Times;serif" w:hAnsi="Times New Roman;Times;serif"/>
                <w:sz w:val="20"/>
                <w:shd w:fill="FFFFFF" w:val="clear"/>
              </w:rPr>
              <w:t xml:space="preserve">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4/16/26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r>
              <w:rPr>
                <w:rFonts w:ascii="Times New Roman;Times;serif" w:hAnsi="Times New Roman;Times;serif"/>
                <w:sz w:val="20"/>
                <w:shd w:fill="FFFFFF" w:val="clea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4">
              <w:r>
                <w:rPr>
                  <w:rStyle w:val="InternetLink"/>
                  <w:rFonts w:ascii="Times New Roman;Times;serif" w:hAnsi="Times New Roman;Times;serif"/>
                  <w:b w:val="false"/>
                  <w:i w:val="false"/>
                  <w:caps w:val="false"/>
                  <w:smallCaps w:val="false"/>
                  <w:sz w:val="20"/>
                </w:rPr>
                <w:t>License Agreement (RPGR), dated February 5, 2019, as amended and restated by and among UCL Business PLC and MeiraGTx Ocular UK Limited (as successor in interest).</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3/26/19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r>
              <w:rPr>
                <w:rFonts w:ascii="Times New Roman;Times;serif" w:hAnsi="Times New Roman;Times;serif"/>
                <w:sz w:val="20"/>
                <w:shd w:fill="FFFFFF" w:val="clea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5">
              <w:r>
                <w:rPr>
                  <w:rStyle w:val="InternetLink"/>
                  <w:rFonts w:ascii="Times New Roman;Times;serif" w:hAnsi="Times New Roman;Times;serif"/>
                  <w:b w:val="false"/>
                  <w:i w:val="false"/>
                  <w:caps w:val="false"/>
                  <w:smallCaps w:val="false"/>
                  <w:sz w:val="20"/>
                </w:rPr>
                <w:t>Deed of Amendment to Framework Agreement, dated April 20, 2026, by and among Hologen Limited, Hologen Neuro AI Limited, MeiraGTx Neuro UK Limited and MeiraGTx Holdings plc.</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w:anchor="mgtx-20260630xex10d5.htm">
              <w:r>
                <w:rPr>
                  <w:rStyle w:val="InternetLink"/>
                  <w:rFonts w:ascii="Times New Roman;Times;serif" w:hAnsi="Times New Roman;Times;serif"/>
                  <w:b w:val="false"/>
                  <w:i w:val="false"/>
                  <w:caps w:val="false"/>
                  <w:smallCaps w:val="false"/>
                  <w:sz w:val="20"/>
                </w:rPr>
                <w:t>Deed of Amendment to Framework Agreement, dated June 22, 2026, by and among Hologen Limited, Reogen Limited (formerly known as Hologen Neuro AI Limited), MeiraGTx Neuro UK Limited and MeiraGTx Holdings plc.</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6">
              <w:r>
                <w:rPr>
                  <w:rStyle w:val="InternetLink"/>
                  <w:rFonts w:ascii="Times New Roman;Times;serif" w:hAnsi="Times New Roman;Times;serif"/>
                  <w:b w:val="false"/>
                  <w:i w:val="false"/>
                  <w:caps w:val="false"/>
                  <w:smallCaps w:val="false"/>
                  <w:sz w:val="20"/>
                </w:rPr>
                <w:t>Deed of Amendment to Framework Agreement, dated April 20, 2026, by and among MeiraGTx Manufacturing Limited, MeiraGTx Limited and Hologen Limited.</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7">
              <w:r>
                <w:rPr>
                  <w:rStyle w:val="InternetLink"/>
                  <w:rFonts w:ascii="Times New Roman;Times;serif" w:hAnsi="Times New Roman;Times;serif"/>
                  <w:b w:val="false"/>
                  <w:i w:val="false"/>
                  <w:caps w:val="false"/>
                  <w:smallCaps w:val="false"/>
                  <w:sz w:val="20"/>
                </w:rPr>
                <w:t>Collaboration and License Agreement, dated April 20, 2026, by and among Hologen Neuro AI Limited, Hologen Neuro AI UK Limited, Hologen Limited, MeiraGTx Holdings plc, MeiraGTx Neuro UK Limited and MeiraGTx Neuro I, LLC.</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8">
              <w:r>
                <w:rPr>
                  <w:rStyle w:val="InternetLink"/>
                  <w:rFonts w:ascii="Times New Roman;Times;serif" w:hAnsi="Times New Roman;Times;serif"/>
                  <w:b w:val="false"/>
                  <w:i w:val="false"/>
                  <w:caps w:val="false"/>
                  <w:smallCaps w:val="false"/>
                  <w:sz w:val="20"/>
                </w:rPr>
                <w:t>Royalty Note Purchase Agreement, dated as of June 30, 2026, by and among MeiraGTx, LLC, MeiraGTx Holdings plc, the other obligors party thereto, the purchasers party thereto and Maverick SA LLC.</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9">
              <w:r>
                <w:rPr>
                  <w:rStyle w:val="InternetLink"/>
                  <w:rFonts w:ascii="Times New Roman;Times;serif" w:hAnsi="Times New Roman;Times;serif"/>
                  <w:b w:val="false"/>
                  <w:i w:val="false"/>
                  <w:caps w:val="false"/>
                  <w:smallCaps w:val="false"/>
                  <w:sz w:val="20"/>
                </w:rPr>
                <w:t>Securities Purchase Agreement, dated as of June 30, 2026, by and among MeiraGTx Holdings plc, TPC Investments Solutions II LP and TPC Investments Solutions Co-Invest II LP.</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10">
              <w:r>
                <w:rPr>
                  <w:rStyle w:val="InternetLink"/>
                  <w:rFonts w:ascii="Times New Roman;Times;serif" w:hAnsi="Times New Roman;Times;serif"/>
                  <w:b w:val="false"/>
                  <w:i w:val="false"/>
                  <w:caps w:val="false"/>
                  <w:smallCaps w:val="false"/>
                  <w:sz w:val="20"/>
                </w:rPr>
                <w:t>Registration Rights Agreement, dated as of June 30, 2026, by and among MeiraGTx Holdings plc, TPC Investments Solutions II LP and TPC Investments Solutions Co-Invest II LP.</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110" w:type="dxa"/>
            <w:tcBorders/>
            <w:tcMar>
              <w:bottom w:w="0" w:type="dxa"/>
            </w:tcMar>
            <w:vAlign w:val="center"/>
          </w:tcPr>
          <w:p>
            <w:pPr>
              <w:pStyle w:val="TableContents"/>
              <w:bidi w:val="0"/>
              <w:spacing w:before="0" w:after="20"/>
              <w:ind w:left="0" w:right="0" w:hanging="0"/>
              <w:jc w:val="left"/>
              <w:rPr/>
            </w:pPr>
            <w:hyperlink r:id="rId11">
              <w:r>
                <w:rPr>
                  <w:rStyle w:val="InternetLink"/>
                  <w:rFonts w:ascii="Times New Roman;Times;serif" w:hAnsi="Times New Roman;Times;serif"/>
                  <w:b w:val="false"/>
                  <w:i w:val="false"/>
                  <w:caps w:val="false"/>
                  <w:smallCaps w:val="false"/>
                  <w:sz w:val="20"/>
                </w:rPr>
                <w:t>Amendment No. 5 to Amended and Restated Notes Purchase Agreement, dated May 12, 2026, by and among MeiraGTx Holdings plc, as issuer, the subsidiary guarantors and noteholders from time to time party thereto, and Perceptive Credit Holdings III, LP, as administrative agent and noteholder.</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5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212529"/>
                <w:sz w:val="18"/>
                <w:shd w:fill="FFFFFF" w:val="clear"/>
              </w:rPr>
            </w:pPr>
            <w:r>
              <w:rPr>
                <w:rFonts w:ascii="Times New Roman;Times;serif" w:hAnsi="Times New Roman;Times;serif"/>
                <w:color w:val="212529"/>
                <w:sz w:val="18"/>
                <w:shd w:fill="FFFFFF" w:val="clear"/>
              </w:rPr>
              <w:t>001-38520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5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5/14/26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9"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13"/>
        <w:gridCol w:w="109"/>
        <w:gridCol w:w="8099"/>
        <w:gridCol w:w="109"/>
        <w:gridCol w:w="109"/>
        <w:gridCol w:w="109"/>
        <w:gridCol w:w="109"/>
        <w:gridCol w:w="109"/>
        <w:gridCol w:w="109"/>
        <w:gridCol w:w="109"/>
        <w:gridCol w:w="109"/>
        <w:gridCol w:w="109"/>
        <w:gridCol w:w="303"/>
      </w:tblGrid>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10d12.htm">
              <w:r>
                <w:rPr>
                  <w:rStyle w:val="InternetLink"/>
                  <w:rFonts w:ascii="Times New Roman;Times;serif" w:hAnsi="Times New Roman;Times;serif"/>
                  <w:b w:val="false"/>
                  <w:i w:val="false"/>
                  <w:caps w:val="false"/>
                  <w:smallCaps w:val="false"/>
                  <w:sz w:val="20"/>
                </w:rPr>
                <w:t>Non-Employee Director Compensation Program.</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10d13.htm">
              <w:r>
                <w:rPr>
                  <w:rStyle w:val="InternetLink"/>
                  <w:rFonts w:ascii="Times New Roman;Times;serif" w:hAnsi="Times New Roman;Times;serif"/>
                  <w:b w:val="false"/>
                  <w:i w:val="false"/>
                  <w:caps w:val="false"/>
                  <w:smallCaps w:val="false"/>
                  <w:sz w:val="20"/>
                </w:rPr>
                <w:t>MeiraGTx Holdings plc 2026 Employment Inducement Award Plan.</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10d14.htm">
              <w:r>
                <w:rPr>
                  <w:rStyle w:val="InternetLink"/>
                  <w:rFonts w:ascii="Times New Roman;Times;serif" w:hAnsi="Times New Roman;Times;serif"/>
                  <w:b w:val="false"/>
                  <w:i w:val="false"/>
                  <w:caps w:val="false"/>
                  <w:smallCaps w:val="false"/>
                  <w:sz w:val="20"/>
                </w:rPr>
                <w:t>Form of Option Grant Notice and Agreement under the MeiraGTx Holdings plc 2026 Employment Inducement Award Plan.</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10d15.htm">
              <w:r>
                <w:rPr>
                  <w:rStyle w:val="InternetLink"/>
                  <w:rFonts w:ascii="Times New Roman;Times;serif" w:hAnsi="Times New Roman;Times;serif"/>
                  <w:b w:val="false"/>
                  <w:i w:val="false"/>
                  <w:caps w:val="false"/>
                  <w:smallCaps w:val="false"/>
                  <w:sz w:val="20"/>
                </w:rPr>
                <w:t>Form of Restricted Share Unit Grant Notice and Agreement under the MeiraGTx Holdings plc 2026 Employment Inducement Award Plan.</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pPr>
            <w:hyperlink w:anchor="mgtx-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099"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Furnished herewith.</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ind w:left="0" w:right="0" w:hanging="0"/>
              <w:jc w:val="left"/>
              <w:rPr>
                <w:sz w:val="4"/>
                <w:szCs w:val="4"/>
              </w:rPr>
            </w:pPr>
            <w:r>
              <w:rPr>
                <w:sz w:val="4"/>
                <w:szCs w:val="4"/>
              </w:rPr>
            </w:r>
          </w:p>
        </w:tc>
        <w:tc>
          <w:tcPr>
            <w:tcW w:w="9888" w:type="dxa"/>
            <w:tcBorders/>
            <w:vAlign w:val="center"/>
          </w:tcPr>
          <w:p>
            <w:pPr>
              <w:pStyle w:val="TableContents"/>
              <w:bidi w:val="0"/>
              <w:spacing w:before="0" w:after="283"/>
              <w:ind w:left="0" w:right="0" w:hanging="0"/>
              <w:jc w:val="left"/>
              <w:rPr>
                <w:sz w:val="4"/>
                <w:szCs w:val="4"/>
              </w:rPr>
            </w:pPr>
            <w:r>
              <w:rPr>
                <w:sz w:val="4"/>
                <w:szCs w:val="4"/>
              </w:rPr>
            </w:r>
          </w:p>
        </w:tc>
      </w:tr>
      <w:tr>
        <w:trPr/>
        <w:tc>
          <w:tcPr>
            <w:tcW w:w="317" w:type="dxa"/>
            <w:tcBorders/>
            <w:shd w:fill="FFFFFF" w:val="clear"/>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9888" w:type="dxa"/>
            <w:tcBorders/>
            <w:shd w:fill="FFFFFF" w:val="clear"/>
            <w:vAlign w:val="center"/>
          </w:tcPr>
          <w:p>
            <w:pPr>
              <w:pStyle w:val="TableContents"/>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Management contract or compensation plan or arrangement.</w:t>
            </w:r>
          </w:p>
        </w:tc>
      </w:tr>
      <w:tr>
        <w:trPr/>
        <w:tc>
          <w:tcPr>
            <w:tcW w:w="317" w:type="dxa"/>
            <w:tcBorders/>
            <w:shd w:fill="FFFFFF" w:val="clear"/>
            <w:vAlign w:val="center"/>
          </w:tcPr>
          <w:p>
            <w:pPr>
              <w:pStyle w:val="TableContents"/>
              <w:bidi w:val="0"/>
              <w:spacing w:before="0" w:after="0"/>
              <w:ind w:left="0" w:right="0" w:hanging="0"/>
              <w:jc w:val="left"/>
              <w:rPr>
                <w:shd w:fill="FFFFFF" w:val="clear"/>
              </w:rPr>
            </w:pPr>
            <w:r>
              <w:rPr>
                <w:shd w:fill="FFFFFF" w:val="clear"/>
              </w:rPr>
              <w:t>†</w:t>
            </w:r>
          </w:p>
        </w:tc>
        <w:tc>
          <w:tcPr>
            <w:tcW w:w="9888" w:type="dxa"/>
            <w:tcBorders/>
            <w:shd w:fill="FFFFFF" w:val="clear"/>
            <w:vAlign w:val="center"/>
          </w:tcPr>
          <w:p>
            <w:pPr>
              <w:pStyle w:val="TableContents"/>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Portions of this exhibit (indicated by asterisks) have been omitted pursuant to a request for confidential treatment pursuant to Rule 406 under the Securities Act of 1933, as amended.</w:t>
            </w:r>
          </w:p>
        </w:tc>
      </w:tr>
      <w:tr>
        <w:trPr/>
        <w:tc>
          <w:tcPr>
            <w:tcW w:w="317" w:type="dxa"/>
            <w:tcBorders/>
            <w:shd w:fill="FFFFFF" w:val="clear"/>
            <w:vAlign w:val="center"/>
          </w:tcPr>
          <w:p>
            <w:pPr>
              <w:pStyle w:val="TableContents"/>
              <w:bidi w:val="0"/>
              <w:spacing w:before="0" w:after="0"/>
              <w:ind w:left="0" w:right="0" w:hanging="0"/>
              <w:jc w:val="left"/>
              <w:rPr>
                <w:shd w:fill="FFFFFF" w:val="clear"/>
              </w:rPr>
            </w:pPr>
            <w:r>
              <w:rPr>
                <w:shd w:fill="FFFFFF" w:val="clear"/>
              </w:rPr>
              <w:t>††</w:t>
            </w:r>
          </w:p>
        </w:tc>
        <w:tc>
          <w:tcPr>
            <w:tcW w:w="988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Portions of this exhibit (indicated by asterisks) have been omitted pursuant to Item 601(b)(10)(iv) of Regulation S-K.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03" w:name="SIGNATURES_71538"/>
      <w:bookmarkStart w:id="1604" w:name="_b01ba297_1e5d_4afb_96a0_74fa17b4ef52"/>
      <w:bookmarkEnd w:id="1603"/>
      <w:bookmarkEnd w:id="1604"/>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7849" w:type="dxa"/>
        <w:jc w:val="left"/>
        <w:tblInd w:w="0" w:type="dxa"/>
        <w:tblLayout w:type="fixed"/>
        <w:tblCellMar>
          <w:top w:w="0" w:type="dxa"/>
          <w:left w:w="0" w:type="dxa"/>
          <w:bottom w:w="0" w:type="dxa"/>
          <w:right w:w="0" w:type="dxa"/>
        </w:tblCellMar>
      </w:tblPr>
      <w:tblGrid>
        <w:gridCol w:w="1951"/>
        <w:gridCol w:w="346"/>
        <w:gridCol w:w="406"/>
        <w:gridCol w:w="5146"/>
      </w:tblGrid>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55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 Holdings plc (Registrant)</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555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Alexandria Forbes</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Alexandria Forbes</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 and authorized signatory</w:t>
            </w:r>
            <w:r>
              <w:rPr>
                <w:rFonts w:ascii="Times New Roman;Times;serif" w:hAnsi="Times New Roman;Times;serif"/>
                <w:sz w:val="20"/>
              </w:rPr>
              <w:t>)</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Richard Giroux</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Richard Giroux</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Chief Operating Officer</w:t>
            </w:r>
          </w:p>
        </w:tc>
      </w:tr>
      <w:tr>
        <w:trPr/>
        <w:tc>
          <w:tcPr>
            <w:tcW w:w="1951"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240"/>
        <w:ind w:left="0" w:right="0" w:hanging="0"/>
        <w:jc w:val="right"/>
        <w:rPr>
          <w:rFonts w:ascii="Times New Roman;Times;serif" w:hAnsi="Times New Roman;Times;serif"/>
          <w:b/>
          <w:color w:val="333333"/>
          <w:sz w:val="20"/>
        </w:rPr>
      </w:pPr>
      <w:bookmarkStart w:id="1605" w:name="mgtx-20260630xex10d5.htm"/>
      <w:bookmarkStart w:id="1606" w:name="ksmgtx20260630xex10d5"/>
      <w:bookmarkEnd w:id="1605"/>
      <w:bookmarkEnd w:id="1606"/>
      <w:r>
        <w:rPr>
          <w:rFonts w:ascii="Times New Roman;Times;serif" w:hAnsi="Times New Roman;Times;serif"/>
          <w:b/>
          <w:color w:val="333333"/>
          <w:sz w:val="20"/>
        </w:rPr>
        <w:t>Exhibit 10.5</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Certain information marked as [***] has been excluded from this exhibit because it is both not material and is the type that the registrant treats as private or confidential.</w:t>
      </w:r>
    </w:p>
    <w:p>
      <w:pPr>
        <w:pStyle w:val="TextBody"/>
        <w:pBdr>
          <w:bottom w:val="single" w:sz="18" w:space="1" w:color="000000"/>
        </w:pBdr>
        <w:bidi w:val="0"/>
        <w:spacing w:before="0" w:after="12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REOGEN LIMITED (formerly known as Hologen Neuro AI Limited)</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DEED OF AMENDMENT TO FRAMEWORK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Dated as of June 22, 2026</w:t>
      </w:r>
    </w:p>
    <w:p>
      <w:pPr>
        <w:pStyle w:val="TextBody"/>
        <w:pBdr>
          <w:bottom w:val="single" w:sz="18" w:space="1" w:color="000000"/>
        </w:pBdr>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DEED is dated June 22, 2026 and is made by and among:</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PARTIES</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Hologen Limited, a non-cellular company limited by shares incorporated in Guernsey with company number 74905 whose registered office is at </w:t>
            </w:r>
            <w:r>
              <w:rPr>
                <w:rFonts w:ascii="Times New Roman;Times;serif" w:hAnsi="Times New Roman;Times;serif"/>
                <w:sz w:val="22"/>
              </w:rPr>
              <w:t xml:space="preserve">PO Box 650, </w:t>
            </w:r>
            <w:r>
              <w:rPr>
                <w:rFonts w:ascii="Times New Roman;Times;serif" w:hAnsi="Times New Roman;Times;serif"/>
                <w:sz w:val="20"/>
              </w:rPr>
              <w:t>1</w:t>
            </w:r>
            <w:r>
              <w:rPr>
                <w:rFonts w:ascii="Times New Roman;Times;serif" w:hAnsi="Times New Roman;Times;serif"/>
                <w:sz w:val="15"/>
              </w:rPr>
              <w:t xml:space="preserve">st </w:t>
            </w:r>
            <w:r>
              <w:rPr>
                <w:rFonts w:ascii="Times New Roman;Times;serif" w:hAnsi="Times New Roman;Times;serif"/>
                <w:sz w:val="20"/>
              </w:rPr>
              <w:t>Floor, Royal Chambers, St. Julian’s Avenue, St. Peter Port, GY1 3JX, Guernsey (“</w:t>
            </w:r>
            <w:r>
              <w:rPr>
                <w:rFonts w:ascii="Times New Roman;Times;serif" w:hAnsi="Times New Roman;Times;serif"/>
                <w:sz w:val="20"/>
                <w:u w:val="single"/>
              </w:rPr>
              <w:t>Hologen</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Reogen Limited, a non-cellular company limited by shares incorporated in Guernsey with company number 74942 whose registered office is at </w:t>
            </w:r>
            <w:r>
              <w:rPr>
                <w:rFonts w:ascii="Times New Roman;Times;serif" w:hAnsi="Times New Roman;Times;serif"/>
                <w:sz w:val="22"/>
              </w:rPr>
              <w:t xml:space="preserve">PO Box 650, </w:t>
            </w:r>
            <w:r>
              <w:rPr>
                <w:rFonts w:ascii="Times New Roman;Times;serif" w:hAnsi="Times New Roman;Times;serif"/>
                <w:sz w:val="20"/>
              </w:rPr>
              <w:t>1</w:t>
            </w:r>
            <w:r>
              <w:rPr>
                <w:rFonts w:ascii="Times New Roman;Times;serif" w:hAnsi="Times New Roman;Times;serif"/>
                <w:sz w:val="15"/>
              </w:rPr>
              <w:t>st</w:t>
            </w:r>
            <w:r>
              <w:rPr>
                <w:rFonts w:ascii="Times New Roman;Times;serif" w:hAnsi="Times New Roman;Times;serif"/>
                <w:sz w:val="20"/>
              </w:rPr>
              <w:t xml:space="preserve"> Floor, Royal Chambers, St Julian’s Avenue, St Peter Port, GY1 3JX, Guernsey (the “</w:t>
            </w:r>
            <w:r>
              <w:rPr>
                <w:rFonts w:ascii="Times New Roman;Times;serif" w:hAnsi="Times New Roman;Times;serif"/>
                <w:sz w:val="20"/>
                <w:u w:val="single"/>
              </w:rPr>
              <w:t>Company</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MeiraGTx Neuro UK Limited, a private company limited by shares incorporated in England with company number 16108121 and having its registered office at 92 Britannia Walk, London N1 7NQ UK (“</w:t>
            </w:r>
            <w:r>
              <w:rPr>
                <w:rFonts w:ascii="Times New Roman;Times;serif" w:hAnsi="Times New Roman;Times;serif"/>
                <w:sz w:val="20"/>
                <w:u w:val="single"/>
              </w:rPr>
              <w:t>MeiraGTx</w:t>
            </w:r>
            <w:r>
              <w:rPr>
                <w:rFonts w:ascii="Times New Roman;Times;serif" w:hAnsi="Times New Roman;Times;serif"/>
                <w:sz w:val="20"/>
              </w:rPr>
              <w:t>”); and</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MeiraGTx Holdings plc, a Cayman Islands exempted company having a place of business at 655 Third Avenue, Suite 1115, New York, NY 10017, USA (“</w:t>
            </w:r>
            <w:r>
              <w:rPr>
                <w:rFonts w:ascii="Times New Roman;Times;serif" w:hAnsi="Times New Roman;Times;serif"/>
                <w:sz w:val="20"/>
                <w:u w:val="single"/>
              </w:rPr>
              <w:t>MeiraGTx Holdings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(each a “</w:t>
      </w:r>
      <w:r>
        <w:rPr>
          <w:rFonts w:ascii="Times New Roman;Times;serif" w:hAnsi="Times New Roman;Times;serif"/>
          <w:sz w:val="20"/>
          <w:u w:val="single"/>
        </w:rPr>
        <w:t>Party</w:t>
      </w:r>
      <w:r>
        <w:rPr>
          <w:rFonts w:ascii="Times New Roman;Times;serif" w:hAnsi="Times New Roman;Times;serif"/>
          <w:sz w:val="20"/>
        </w:rPr>
        <w:t>” and together the “</w:t>
      </w:r>
      <w:r>
        <w:rPr>
          <w:rFonts w:ascii="Times New Roman;Times;serif" w:hAnsi="Times New Roman;Times;serif"/>
          <w:sz w:val="20"/>
          <w:u w:val="single"/>
        </w:rPr>
        <w:t>Parties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BACKGROUND</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Parties entered into a framework agreement dated March 9, 2025, as amended from time to time (the “</w:t>
            </w:r>
            <w:r>
              <w:rPr>
                <w:rFonts w:ascii="Times New Roman;Times;serif" w:hAnsi="Times New Roman;Times;serif"/>
                <w:sz w:val="20"/>
                <w:u w:val="single"/>
              </w:rPr>
              <w:t>Framework Agreement</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Parties wish to amend the Framework Agreement as set out in this deed with effect from the date of this deed (“</w:t>
            </w:r>
            <w:r>
              <w:rPr>
                <w:rFonts w:ascii="Times New Roman;Times;serif" w:hAnsi="Times New Roman;Times;serif"/>
                <w:sz w:val="20"/>
                <w:u w:val="single"/>
              </w:rPr>
              <w:t>Variation Date</w:t>
            </w:r>
            <w:r>
              <w:rPr>
                <w:rFonts w:ascii="Times New Roman;Times;serif" w:hAnsi="Times New Roman;Times;serif"/>
                <w:sz w:val="20"/>
              </w:rPr>
              <w:t>”).</w:t>
            </w:r>
          </w:p>
        </w:tc>
      </w:tr>
    </w:tbl>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0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TERMS DEFINED IN THE FRAMEWORK AGREEMENT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this deed, expressions defined in the Framework Agreement and used in this deed have the meaning set out in the Framework Agreement unless otherwise defined. The rules of interpretation set out in the Framework Agreement apply to this deed.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323" w:type="dxa"/>
        <w:jc w:val="left"/>
        <w:tblInd w:w="0" w:type="dxa"/>
        <w:tblLayout w:type="fixed"/>
        <w:tblCellMar>
          <w:top w:w="0" w:type="dxa"/>
          <w:left w:w="0" w:type="dxa"/>
          <w:bottom w:w="0" w:type="dxa"/>
          <w:right w:w="0" w:type="dxa"/>
        </w:tblCellMar>
      </w:tblPr>
      <w:tblGrid>
        <w:gridCol w:w="23"/>
        <w:gridCol w:w="170"/>
        <w:gridCol w:w="1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1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VARIATION</w:t>
            </w:r>
          </w:p>
        </w:tc>
      </w:tr>
    </w:tbl>
    <w:tbl>
      <w:tblPr>
        <w:tblW w:w="9228" w:type="dxa"/>
        <w:jc w:val="left"/>
        <w:tblInd w:w="0" w:type="dxa"/>
        <w:tblLayout w:type="fixed"/>
        <w:tblCellMar>
          <w:top w:w="0" w:type="dxa"/>
          <w:left w:w="0" w:type="dxa"/>
          <w:bottom w:w="0" w:type="dxa"/>
          <w:right w:w="0" w:type="dxa"/>
        </w:tblCellMar>
      </w:tblPr>
      <w:tblGrid>
        <w:gridCol w:w="23"/>
        <w:gridCol w:w="275"/>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2.1</w:t>
            </w:r>
          </w:p>
        </w:tc>
        <w:tc>
          <w:tcPr>
            <w:tcW w:w="89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 effect from the Variation Date, the Parties agree the following amendments to the Framework Agreement:</w:t>
            </w:r>
          </w:p>
        </w:tc>
      </w:tr>
    </w:tbl>
    <w:tbl>
      <w:tblPr>
        <w:tblW w:w="10205" w:type="dxa"/>
        <w:jc w:val="left"/>
        <w:tblInd w:w="0" w:type="dxa"/>
        <w:tblLayout w:type="fixed"/>
        <w:tblCellMar>
          <w:top w:w="0" w:type="dxa"/>
          <w:left w:w="0" w:type="dxa"/>
          <w:bottom w:w="0" w:type="dxa"/>
          <w:right w:w="0" w:type="dxa"/>
        </w:tblCellMar>
      </w:tblPr>
      <w:tblGrid>
        <w:gridCol w:w="1352"/>
        <w:gridCol w:w="8853"/>
      </w:tblGrid>
      <w:tr>
        <w:trPr/>
        <w:tc>
          <w:tcPr>
            <w:tcW w:w="1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858520" cy="175260"/>
                      <wp:effectExtent l="0" t="0" r="0" b="0"/>
                      <wp:wrapNone/>
                      <wp:docPr id="364" name="Frame364"/>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621655" cy="175260"/>
                      <wp:effectExtent l="0" t="0" r="0" b="0"/>
                      <wp:wrapNone/>
                      <wp:docPr id="365" name="Frame365"/>
                      <a:graphic xmlns:a="http://schemas.openxmlformats.org/drawingml/2006/main">
                        <a:graphicData uri="http://schemas.microsoft.com/office/word/2010/wordprocessingShape">
                          <wps:wsp>
                            <wps:cNvSpPr txBox="1"/>
                            <wps:spPr>
                              <a:xfrm>
                                <a:off x="0" y="0"/>
                                <a:ext cx="562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Section 9.2(a)</w:t>
            </w:r>
          </w:p>
        </w:tc>
        <w:tc>
          <w:tcPr>
            <w:tcW w:w="8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9.2(a) (</w:t>
            </w:r>
            <w:r>
              <w:rPr>
                <w:rFonts w:ascii="Times New Roman;Times;serif" w:hAnsi="Times New Roman;Times;serif"/>
                <w:i/>
                <w:sz w:val="20"/>
              </w:rPr>
              <w:t>Distribution Amounts</w:t>
            </w:r>
            <w:r>
              <w:rPr>
                <w:rFonts w:ascii="Times New Roman;Times;serif" w:hAnsi="Times New Roman;Times;serif"/>
                <w:sz w:val="20"/>
              </w:rPr>
              <w:t xml:space="preserve">) is amended to </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 xml:space="preserve">Distribution </w:t>
            </w:r>
          </w:p>
        </w:tc>
        <w:tc>
          <w:tcPr>
            <w:tcW w:w="8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read as follows:</w:t>
            </w:r>
          </w:p>
        </w:tc>
      </w:tr>
      <w:tr>
        <w:trPr/>
        <w:tc>
          <w:tcPr>
            <w:tcW w:w="1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Amounts</w:t>
            </w:r>
            <w:r>
              <w:rPr>
                <w:rFonts w:ascii="Times New Roman;Times;serif" w:hAnsi="Times New Roman;Times;serif"/>
                <w:sz w:val="20"/>
              </w:rPr>
              <w:t>) amended:</w:t>
            </w:r>
          </w:p>
        </w:tc>
        <w:tc>
          <w:tcPr>
            <w:tcW w:w="8853" w:type="dxa"/>
            <w:tcBorders/>
            <w:vAlign w:val="center"/>
          </w:tcPr>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    </w:t>
            </w:r>
            <w:r>
              <w:rPr>
                <w:rFonts w:ascii="Times New Roman;Times;serif" w:hAnsi="Times New Roman;Times;serif"/>
                <w:color w:val="231F20"/>
                <w:sz w:val="20"/>
                <w:u w:val="single"/>
              </w:rPr>
              <w:t>Distribution Amounts</w:t>
            </w:r>
            <w:r>
              <w:rPr>
                <w:rFonts w:ascii="Times New Roman;Times;serif" w:hAnsi="Times New Roman;Times;serif"/>
                <w:color w:val="231F20"/>
                <w:sz w:val="20"/>
              </w:rPr>
              <w:t xml:space="preserve">. The Parties agree that, subject at all times to the applicable provisions of the Act, and subject to </w:t>
            </w:r>
            <w:r>
              <w:rPr>
                <w:rFonts w:ascii="Times New Roman;Times;serif" w:hAnsi="Times New Roman;Times;serif"/>
                <w:color w:val="231F20"/>
                <w:sz w:val="20"/>
                <w:u w:val="single"/>
              </w:rPr>
              <w:t>Section 9.3</w:t>
            </w:r>
            <w:r>
              <w:rPr>
                <w:rFonts w:ascii="Times New Roman;Times;serif" w:hAnsi="Times New Roman;Times;serif"/>
                <w:color w:val="231F20"/>
                <w:sz w:val="20"/>
              </w:rPr>
              <w:t>, whenever the amount of a dividend to be paid is to be ascertained:</w:t>
            </w:r>
          </w:p>
        </w:tc>
      </w:tr>
      <w:tr>
        <w:trPr/>
        <w:tc>
          <w:tcPr>
            <w:tcW w:w="1352"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olor w:val="231F20"/>
                <w:sz w:val="20"/>
              </w:rPr>
              <w:t>(i)    the total profits of the Company available for distribution within the meaning given in the Act (the “</w:t>
            </w:r>
            <w:r>
              <w:rPr>
                <w:rFonts w:ascii="Times New Roman;Times;serif" w:hAnsi="Times New Roman;Times;serif"/>
                <w:color w:val="231F20"/>
                <w:sz w:val="20"/>
                <w:u w:val="single"/>
              </w:rPr>
              <w:t>Distributable Profits</w:t>
            </w:r>
            <w:r>
              <w:rPr>
                <w:rFonts w:ascii="Times New Roman;Times;serif" w:hAnsi="Times New Roman;Times;serif"/>
                <w:color w:val="231F20"/>
                <w:sz w:val="20"/>
              </w:rPr>
              <w:t>”), shall be determined by the Board of Directors by reference to the audited accounts for the relevant financial year;</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both"/>
              <w:rPr>
                <w:color w:val="231F20"/>
              </w:rPr>
            </w:pPr>
            <w:r>
              <w:rPr>
                <w:color w:val="231F20"/>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olor w:val="231F20"/>
                <w:sz w:val="20"/>
              </w:rPr>
              <w:t>(ii)    the Board of Directors shall identify amounts (the “</w:t>
            </w:r>
            <w:r>
              <w:rPr>
                <w:rFonts w:ascii="Times New Roman;Times;serif" w:hAnsi="Times New Roman;Times;serif"/>
                <w:color w:val="231F20"/>
                <w:sz w:val="20"/>
                <w:u w:val="single"/>
              </w:rPr>
              <w:t>Retained Amounts</w:t>
            </w:r>
            <w:r>
              <w:rPr>
                <w:rFonts w:ascii="Times New Roman;Times;serif" w:hAnsi="Times New Roman;Times;serif"/>
                <w:color w:val="231F20"/>
                <w:sz w:val="20"/>
              </w:rPr>
              <w:t>”) which they consider (having regard to all other sources of funding available to the Company) should be retained in order:</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both"/>
              <w:rPr>
                <w:color w:val="231F20"/>
              </w:rPr>
            </w:pPr>
            <w:r>
              <w:rPr>
                <w:color w:val="231F20"/>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231F20"/>
                <w:sz w:val="20"/>
              </w:rPr>
              <w:t>(A)</w:t>
            </w:r>
            <w:r>
              <w:rPr>
                <w:rFonts w:ascii="Times New Roman;Times;serif" w:hAnsi="Times New Roman;Times;serif"/>
                <w:sz w:val="20"/>
              </w:rPr>
              <w:t>    </w:t>
            </w:r>
            <w:r>
              <w:rPr>
                <w:rFonts w:ascii="Times New Roman;Times;serif" w:hAnsi="Times New Roman;Times;serif"/>
                <w:color w:val="231F20"/>
                <w:sz w:val="20"/>
              </w:rPr>
              <w:t>to meet reasonably foreseeable commitments and contingencies;</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color w:val="231F20"/>
              </w:rPr>
            </w:pPr>
            <w:r>
              <w:rPr>
                <w:color w:val="231F20"/>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    to develop the Business in accordance with the approved Budget and the terms of this Agreement;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color w:val="231F20"/>
              </w:rPr>
            </w:pPr>
            <w:r>
              <w:rPr>
                <w:color w:val="231F20"/>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    to ensure that there is no breach of any covenant or undertaking given by the Company to any lender at the time of the payment and, in the opinion of the Board of Directors, there is not likely to be such a breach within the following [***]; and</w:t>
            </w:r>
          </w:p>
        </w:tc>
      </w:tr>
      <w:tr>
        <w:trPr/>
        <w:tc>
          <w:tcPr>
            <w:tcW w:w="1352"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    to maintain the sound financial standing of the Company.</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hanging="0"/>
              <w:jc w:val="left"/>
              <w:rPr>
                <w:color w:val="231F20"/>
              </w:rPr>
            </w:pPr>
            <w:r>
              <w:rPr>
                <w:color w:val="231F20"/>
              </w:rPr>
              <w:t>​</w:t>
            </w:r>
          </w:p>
        </w:tc>
      </w:tr>
      <w:tr>
        <w:trPr/>
        <w:tc>
          <w:tcPr>
            <w:tcW w:w="1352" w:type="dxa"/>
            <w:tcBorders/>
            <w:vAlign w:val="center"/>
          </w:tcPr>
          <w:p>
            <w:pPr>
              <w:pStyle w:val="TableContents"/>
              <w:bidi w:val="0"/>
              <w:spacing w:before="0" w:after="0"/>
              <w:ind w:left="0" w:right="0" w:hanging="0"/>
              <w:jc w:val="left"/>
              <w:rPr>
                <w:color w:val="231F20"/>
              </w:rPr>
            </w:pPr>
            <w:r>
              <w:rPr>
                <w:color w:val="231F20"/>
              </w:rPr>
              <w:t>​</w:t>
            </w:r>
          </w:p>
        </w:tc>
        <w:tc>
          <w:tcPr>
            <w:tcW w:w="8853" w:type="dxa"/>
            <w:tcBorders/>
            <w:vAlign w:val="center"/>
          </w:tcPr>
          <w:p>
            <w:pPr>
              <w:pStyle w:val="TableContents"/>
              <w:bidi w:val="0"/>
              <w:spacing w:before="0" w:after="0"/>
              <w:ind w:left="0" w:right="0" w:firstLine="720"/>
              <w:jc w:val="both"/>
              <w:rPr>
                <w:rFonts w:ascii="Times New Roman;Times;serif" w:hAnsi="Times New Roman;Times;serif"/>
                <w:sz w:val="20"/>
              </w:rPr>
            </w:pPr>
            <w:r>
              <w:rPr>
                <w:rFonts w:ascii="Times New Roman;Times;serif" w:hAnsi="Times New Roman;Times;serif"/>
                <w:color w:val="231F20"/>
                <w:sz w:val="20"/>
              </w:rPr>
              <w:t xml:space="preserve">(iii)    such percentage as the Board of Directors determines of the balance (if any) remaining after deducting the Retained Amounts from the Distributable Profits shall be used in accordance with </w:t>
            </w:r>
            <w:r>
              <w:rPr>
                <w:rFonts w:ascii="Times New Roman;Times;serif" w:hAnsi="Times New Roman;Times;serif"/>
                <w:color w:val="231F20"/>
                <w:sz w:val="20"/>
                <w:u w:val="single"/>
              </w:rPr>
              <w:t>Section 9.2(b).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10"/>
        <w:gridCol w:w="8295"/>
      </w:tblGrid>
      <w:tr>
        <w:trPr/>
        <w:tc>
          <w:tcPr>
            <w:tcW w:w="1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212850" cy="175260"/>
                      <wp:effectExtent l="0" t="0" r="0" b="0"/>
                      <wp:wrapNone/>
                      <wp:docPr id="366" name="Frame366"/>
                      <a:graphic xmlns:a="http://schemas.openxmlformats.org/drawingml/2006/main">
                        <a:graphicData uri="http://schemas.microsoft.com/office/word/2010/wordprocessingShape">
                          <wps:wsp>
                            <wps:cNvSpPr txBox="1"/>
                            <wps:spPr>
                              <a:xfrm>
                                <a:off x="0" y="0"/>
                                <a:ext cx="1212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267325" cy="175260"/>
                      <wp:effectExtent l="0" t="0" r="0" b="0"/>
                      <wp:wrapNone/>
                      <wp:docPr id="367" name="Frame367"/>
                      <a:graphic xmlns:a="http://schemas.openxmlformats.org/drawingml/2006/main">
                        <a:graphicData uri="http://schemas.microsoft.com/office/word/2010/wordprocessingShape">
                          <wps:wsp>
                            <wps:cNvSpPr txBox="1"/>
                            <wps:spPr>
                              <a:xfrm>
                                <a:off x="0" y="0"/>
                                <a:ext cx="526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(iv)    the Board of Directors will ensure, having regard to the most recent accounts of the Company and </w:t>
            </w:r>
            <w:r>
              <w:rPr>
                <w:rFonts w:ascii="Times New Roman;Times;serif" w:hAnsi="Times New Roman;Times;serif"/>
                <w:color w:val="231F20"/>
                <w:sz w:val="20"/>
              </w:rPr>
              <w:t>any other relevant information / records they deem necessary that the Company satisfies the solvency test as set out in the Act, which requires that: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pPr>
            <w:r>
              <w:rPr/>
              <w: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(A)    the Company is able to pay its debts as they become due;</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pPr>
            <w:r>
              <w:rPr/>
              <w: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(B)    the value of the Company’s assets is greater than the value of its liabilities; and</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pPr>
            <w:r>
              <w:rPr/>
              <w: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(C)    the Company satisfies any other requirement in its New Articles or this Agreement.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color w:val="231F20"/>
              </w:rPr>
            </w:pPr>
            <w:r>
              <w:rPr>
                <w:color w:val="231F20"/>
              </w:rPr>
              <w:t>​</w:t>
            </w:r>
          </w:p>
        </w:tc>
      </w:tr>
      <w:tr>
        <w:trPr/>
        <w:tc>
          <w:tcPr>
            <w:tcW w:w="1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Section 9.2(b) (</w:t>
            </w:r>
            <w:r>
              <w:rPr>
                <w:rFonts w:ascii="Times New Roman;Times;serif" w:hAnsi="Times New Roman;Times;serif"/>
                <w:i/>
                <w:sz w:val="20"/>
              </w:rPr>
              <w:t>Liquidating</w:t>
            </w:r>
          </w:p>
        </w:tc>
        <w:tc>
          <w:tcPr>
            <w:tcW w:w="82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9.2(b) (</w:t>
            </w:r>
            <w:r>
              <w:rPr>
                <w:rFonts w:ascii="Times New Roman;Times;serif" w:hAnsi="Times New Roman;Times;serif"/>
                <w:i/>
                <w:sz w:val="20"/>
              </w:rPr>
              <w:t>Liquidating and Non-Liquidating Distributions</w:t>
            </w:r>
            <w:r>
              <w:rPr>
                <w:rFonts w:ascii="Times New Roman;Times;serif" w:hAnsi="Times New Roman;Times;serif"/>
                <w:sz w:val="20"/>
              </w:rPr>
              <w:t>) is amended to read as follows:</w:t>
            </w:r>
          </w:p>
        </w:tc>
      </w:tr>
      <w:tr>
        <w:trPr/>
        <w:tc>
          <w:tcPr>
            <w:tcW w:w="191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and Non-Liquidating</w:t>
            </w:r>
          </w:p>
        </w:tc>
        <w:tc>
          <w:tcPr>
            <w:tcW w:w="8295" w:type="dxa"/>
            <w:tcBorders/>
            <w:vAlign w:val="center"/>
          </w:tcPr>
          <w:p>
            <w:pPr>
              <w:pStyle w:val="TableContents"/>
              <w:bidi w:val="0"/>
              <w:spacing w:before="0" w:after="0"/>
              <w:ind w:left="0" w:right="0" w:hanging="0"/>
              <w:jc w:val="both"/>
              <w:rPr>
                <w:color w:val="231F20"/>
              </w:rPr>
            </w:pPr>
            <w:r>
              <w:rPr>
                <w:color w:val="231F20"/>
              </w:rPr>
              <w:t>​</w:t>
            </w:r>
          </w:p>
        </w:tc>
      </w:tr>
      <w:tr>
        <w:trPr/>
        <w:tc>
          <w:tcPr>
            <w:tcW w:w="1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Distributions</w:t>
            </w:r>
            <w:r>
              <w:rPr>
                <w:rFonts w:ascii="Times New Roman;Times;serif" w:hAnsi="Times New Roman;Times;serif"/>
                <w:sz w:val="20"/>
              </w:rPr>
              <w:t>) amended:</w:t>
            </w:r>
          </w:p>
        </w:tc>
        <w:tc>
          <w:tcPr>
            <w:tcW w:w="8295" w:type="dxa"/>
            <w:tcBorders/>
            <w:vAlign w:val="center"/>
          </w:tcPr>
          <w:p>
            <w:pPr>
              <w:pStyle w:val="TableContents"/>
              <w:bidi w:val="0"/>
              <w:spacing w:before="0" w:after="0"/>
              <w:ind w:left="0" w:right="0" w:hanging="0"/>
              <w:jc w:val="both"/>
              <w:rPr>
                <w:color w:val="231F20"/>
              </w:rPr>
            </w:pPr>
            <w:r>
              <w:rPr>
                <w:color w:val="231F20"/>
              </w:rPr>
              <w: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 xml:space="preserve">(b) </w:t>
            </w:r>
            <w:r>
              <w:rPr>
                <w:rFonts w:ascii="Times New Roman;Times;serif" w:hAnsi="Times New Roman;Times;serif"/>
                <w:sz w:val="20"/>
                <w:u w:val="single"/>
              </w:rPr>
              <w:t>Liquidating and Non-Liquidating Distributions</w:t>
            </w:r>
            <w:r>
              <w:rPr>
                <w:rFonts w:ascii="Times New Roman;Times;serif" w:hAnsi="Times New Roman;Times;serif"/>
                <w:sz w:val="20"/>
              </w:rPr>
              <w:t>. Any Distributions, including any Distribution made in connection with any liquidation or winding up of the Company, any Deemed Liquidation Event or any Subsidiary Change of Control, shall be made as follows:</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color w:val="231F20"/>
              </w:rPr>
            </w:pPr>
            <w:r>
              <w:rPr>
                <w:color w:val="231F20"/>
              </w:rPr>
              <w:t>​</w:t>
            </w:r>
          </w:p>
        </w:tc>
      </w:tr>
      <w:tr>
        <w:trPr/>
        <w:tc>
          <w:tcPr>
            <w:tcW w:w="1910" w:type="dxa"/>
            <w:tcBorders/>
            <w:vAlign w:val="center"/>
          </w:tcPr>
          <w:p>
            <w:pPr>
              <w:pStyle w:val="TableContents"/>
              <w:bidi w:val="0"/>
              <w:spacing w:before="0" w:after="0"/>
              <w:ind w:left="0" w:right="0" w:hanging="0"/>
              <w:jc w:val="left"/>
              <w:rPr>
                <w:color w:val="231F20"/>
              </w:rPr>
            </w:pPr>
            <w:r>
              <w:rPr>
                <w:color w:val="231F20"/>
              </w:rPr>
              <w:t>​</w:t>
            </w:r>
          </w:p>
        </w:tc>
        <w:tc>
          <w:tcPr>
            <w:tcW w:w="82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This deed shall constitute a valid amendment of the Framework Agreement, pursuant to, and in accordance with, Section 22 (</w:t>
            </w:r>
            <w:r>
              <w:rPr>
                <w:rFonts w:ascii="Times New Roman;Times;serif" w:hAnsi="Times New Roman;Times;serif"/>
                <w:i/>
                <w:sz w:val="20"/>
              </w:rPr>
              <w:t>Amendments to Agreement</w:t>
            </w:r>
            <w:r>
              <w:rPr>
                <w:rFonts w:ascii="Times New Roman;Times;serif" w:hAnsi="Times New Roman;Times;serif"/>
                <w:sz w:val="20"/>
              </w:rPr>
              <w:t xml:space="preserve">) thereof. Except as set out in </w:t>
            </w:r>
            <w:r>
              <w:rPr>
                <w:rFonts w:ascii="Times New Roman;Times;serif" w:hAnsi="Times New Roman;Times;serif"/>
                <w:sz w:val="20"/>
                <w:u w:val="single"/>
              </w:rPr>
              <w:t>Section 2.1</w:t>
            </w:r>
            <w:r>
              <w:rPr>
                <w:rFonts w:ascii="Times New Roman;Times;serif" w:hAnsi="Times New Roman;Times;serif"/>
                <w:sz w:val="20"/>
              </w:rPr>
              <w:t xml:space="preserve"> above, the Framework Agreement shall continue in full force and effect.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of any conflict between the terms of the Framework Agreement and this deed, the terms of this deed shall prevail.</w:t>
            </w:r>
          </w:p>
        </w:tc>
      </w:tr>
    </w:tbl>
    <w:tbl>
      <w:tblPr>
        <w:tblW w:w="1923" w:type="dxa"/>
        <w:jc w:val="left"/>
        <w:tblInd w:w="0" w:type="dxa"/>
        <w:tblLayout w:type="fixed"/>
        <w:tblCellMar>
          <w:top w:w="0" w:type="dxa"/>
          <w:left w:w="0" w:type="dxa"/>
          <w:bottom w:w="0" w:type="dxa"/>
          <w:right w:w="0" w:type="dxa"/>
        </w:tblCellMar>
      </w:tblPr>
      <w:tblGrid>
        <w:gridCol w:w="23"/>
        <w:gridCol w:w="17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7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deed and the rights of the Parties hereunder arising out of or related to this deed or the transactions contemplated hereunder shall be governed by and construed in accordance with the laws of England and Wales, without regard to any conflicts-of-laws principles that would cause the application of laws of any jurisdiction other than those of England and Wales.</w:t>
      </w:r>
    </w:p>
    <w:tbl>
      <w:tblPr>
        <w:tblW w:w="1608" w:type="dxa"/>
        <w:jc w:val="left"/>
        <w:tblInd w:w="0" w:type="dxa"/>
        <w:tblLayout w:type="fixed"/>
        <w:tblCellMar>
          <w:top w:w="0" w:type="dxa"/>
          <w:left w:w="0" w:type="dxa"/>
          <w:bottom w:w="0" w:type="dxa"/>
          <w:right w:w="0" w:type="dxa"/>
        </w:tblCellMar>
      </w:tblPr>
      <w:tblGrid>
        <w:gridCol w:w="23"/>
        <w:gridCol w:w="17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JURISDICTION</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Each party irrevocably agrees that the Courts of England shall have exclusive jurisdiction in relation to any dispute or claim arising out of or in connection with this deed or its subject matter, existence, negotiation, validity, termination or enforceability (including non-contractual disputes or claims).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not prohibited by applicable law, each party hereto waives and agrees not to assert, by way of motion, as a defense or otherwise, in any such proceeding brought in the above-named court, any claim that such party is not subject personally to the jurisdiction of such court, that such party’s property is exempt or immune from attachment or execution, that such proceeding is brought in an inconvenient forum, that the venue of such proceeding is improper, or that this deed or the subject matter thereof, may not be enforced in or by such court.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document has been executed as a deed and is delivered and takes effect on the date stated at the beginning of it.</w:t>
      </w:r>
    </w:p>
    <w:p>
      <w:pPr>
        <w:pStyle w:val="TextBody"/>
        <w:bidi w:val="0"/>
        <w:spacing w:before="0" w:after="0"/>
        <w:ind w:left="165"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intending to be bound have caused this deed to be executed and delivered as a DEED on the date specified at the beginning of this deed by their duly authorized representatives.</w:t>
      </w:r>
    </w:p>
    <w:p>
      <w:pPr>
        <w:pStyle w:val="TextBody"/>
        <w:bidi w:val="0"/>
        <w:spacing w:before="0" w:after="0"/>
        <w:ind w:left="23" w:right="0" w:hanging="0"/>
        <w:jc w:val="both"/>
        <w:rPr/>
      </w:pPr>
      <w:r>
        <w:rPr/>
        <w:t>​</w:t>
      </w:r>
    </w:p>
    <w:tbl>
      <w:tblPr>
        <w:tblW w:w="6587" w:type="dxa"/>
        <w:jc w:val="left"/>
        <w:tblInd w:w="0" w:type="dxa"/>
        <w:tblLayout w:type="fixed"/>
        <w:tblCellMar>
          <w:top w:w="0" w:type="dxa"/>
          <w:left w:w="0" w:type="dxa"/>
          <w:bottom w:w="0" w:type="dxa"/>
          <w:right w:w="0" w:type="dxa"/>
        </w:tblCellMar>
      </w:tblPr>
      <w:tblGrid>
        <w:gridCol w:w="3226"/>
        <w:gridCol w:w="3361"/>
      </w:tblGrid>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by</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HOLOGEN LIMITED</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Henry Smith</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 by a director in the presence of:</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Director for Andrew Henton</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Witness’ signature: </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Elliot Dean Worrall</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(print):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Elliot Dean Worrall</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Occupation:</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Deed of Amendment</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587" w:type="dxa"/>
        <w:jc w:val="left"/>
        <w:tblInd w:w="0" w:type="dxa"/>
        <w:tblLayout w:type="fixed"/>
        <w:tblCellMar>
          <w:top w:w="0" w:type="dxa"/>
          <w:left w:w="0" w:type="dxa"/>
          <w:bottom w:w="0" w:type="dxa"/>
          <w:right w:w="0" w:type="dxa"/>
        </w:tblCellMar>
      </w:tblPr>
      <w:tblGrid>
        <w:gridCol w:w="3226"/>
        <w:gridCol w:w="336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48510" cy="175260"/>
                      <wp:effectExtent l="0" t="0" r="0" b="0"/>
                      <wp:wrapNone/>
                      <wp:docPr id="368" name="Frame368"/>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34235" cy="175260"/>
                      <wp:effectExtent l="0" t="0" r="0" b="0"/>
                      <wp:wrapNone/>
                      <wp:docPr id="369" name="Frame369"/>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by</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REOGEN LIMITED</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Henry Smith</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 by a director in the presence of:</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Director for Andrew Henton</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Witness’ signature: </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Elliot Dean Worrall</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(print):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Elliot Dean Worrall</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Occupation:</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89"/>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Deed of Amendment</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93"/>
        <w:ind w:left="0" w:right="0" w:hanging="0"/>
        <w:jc w:val="left"/>
        <w:rPr/>
      </w:pPr>
      <w:r>
        <w:rPr/>
        <w:t>​</w:t>
      </w:r>
    </w:p>
    <w:tbl>
      <w:tblPr>
        <w:tblW w:w="4787" w:type="dxa"/>
        <w:jc w:val="left"/>
        <w:tblInd w:w="0" w:type="dxa"/>
        <w:tblLayout w:type="fixed"/>
        <w:tblCellMar>
          <w:top w:w="0" w:type="dxa"/>
          <w:left w:w="0" w:type="dxa"/>
          <w:bottom w:w="0" w:type="dxa"/>
          <w:right w:w="0" w:type="dxa"/>
        </w:tblCellMar>
      </w:tblPr>
      <w:tblGrid>
        <w:gridCol w:w="3226"/>
        <w:gridCol w:w="1561"/>
      </w:tblGrid>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by</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NEURO UK LIMITED</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 by a director in the presence of:</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 Giroux</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Witness’ signature: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Wollin</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(print):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Wollin</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Occupation:</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Deed of Amendment</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787" w:type="dxa"/>
        <w:jc w:val="left"/>
        <w:tblInd w:w="0" w:type="dxa"/>
        <w:tblLayout w:type="fixed"/>
        <w:tblCellMar>
          <w:top w:w="0" w:type="dxa"/>
          <w:left w:w="0" w:type="dxa"/>
          <w:bottom w:w="0" w:type="dxa"/>
          <w:right w:w="0" w:type="dxa"/>
        </w:tblCellMar>
      </w:tblPr>
      <w:tblGrid>
        <w:gridCol w:w="3226"/>
        <w:gridCol w:w="1561"/>
      </w:tblGrid>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by</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HOLDINGS PLC</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 by a director in the presence of:</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 Giroux</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Witness’ signature: </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Wollin</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(print): </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Wollin</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Occupation: </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2"/>
        <w:ind w:left="0" w:right="0" w:hanging="0"/>
        <w:jc w:val="left"/>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Deed of Amendment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07" w:name="mgtx-20260630xex10d12.htm"/>
      <w:bookmarkStart w:id="1608" w:name="ksmgtx20260630xex10d12"/>
      <w:bookmarkEnd w:id="1607"/>
      <w:bookmarkEnd w:id="1608"/>
      <w:r>
        <w:rPr>
          <w:rFonts w:ascii="Times New Roman;Times;serif" w:hAnsi="Times New Roman;Times;serif"/>
          <w:b/>
          <w:sz w:val="20"/>
        </w:rPr>
        <w:t>Exhibit 10.12</w:t>
      </w:r>
      <w:r>
        <w:br w:type="page"/>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MeiraGTx Holdings plc</w:t>
      </w:r>
    </w:p>
    <w:p>
      <w:pPr>
        <w:pStyle w:val="TextBody"/>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Non-Employee Director Compensation Program</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(effective as of June 10,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Non-employee members of the board of directors (the “</w:t>
      </w:r>
      <w:r>
        <w:rPr>
          <w:rFonts w:ascii="Times New Roman;Times;serif" w:hAnsi="Times New Roman;Times;serif"/>
          <w:b/>
          <w:i/>
          <w:sz w:val="20"/>
        </w:rPr>
        <w:t>Board</w:t>
      </w:r>
      <w:r>
        <w:rPr>
          <w:rFonts w:ascii="Times New Roman;Times;serif" w:hAnsi="Times New Roman;Times;serif"/>
          <w:sz w:val="20"/>
        </w:rPr>
        <w:t>”) of MeiraGTx Holdings plc (the “</w:t>
      </w:r>
      <w:r>
        <w:rPr>
          <w:rFonts w:ascii="Times New Roman;Times;serif" w:hAnsi="Times New Roman;Times;serif"/>
          <w:b/>
          <w:i/>
          <w:sz w:val="20"/>
        </w:rPr>
        <w:t>Company</w:t>
      </w:r>
      <w:r>
        <w:rPr>
          <w:rFonts w:ascii="Times New Roman;Times;serif" w:hAnsi="Times New Roman;Times;serif"/>
          <w:sz w:val="20"/>
        </w:rPr>
        <w:t>”) shall receive cash and equity compensation as set forth in this Non-Employee Director Compensation Program (this “</w:t>
      </w:r>
      <w:r>
        <w:rPr>
          <w:rFonts w:ascii="Times New Roman;Times;serif" w:hAnsi="Times New Roman;Times;serif"/>
          <w:b/>
          <w:i/>
          <w:sz w:val="20"/>
        </w:rPr>
        <w:t>Program</w:t>
      </w:r>
      <w:r>
        <w:rPr>
          <w:rFonts w:ascii="Times New Roman;Times;serif" w:hAnsi="Times New Roman;Times;serif"/>
          <w:sz w:val="20"/>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Times;serif" w:hAnsi="Times New Roman;Times;serif"/>
          <w:b/>
          <w:i/>
          <w:sz w:val="20"/>
        </w:rPr>
        <w:t>Non-Employee Director</w:t>
      </w:r>
      <w:r>
        <w:rPr>
          <w:rFonts w:ascii="Times New Roman;Times;serif" w:hAnsi="Times New Roman;Times;serif"/>
          <w:sz w:val="20"/>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As of its effectiveness, the terms and conditions of this Program shall supersede any prior cash and/or equity compensation arrangements for service as a member of the Board between the Company and any of its Non-Employee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smallCaps/>
          <w:sz w:val="20"/>
        </w:rPr>
        <w:t>I.</w:t>
      </w:r>
      <w:r>
        <w:rPr>
          <w:rFonts w:ascii="Times New Roman;Times;serif" w:hAnsi="Times New Roman;Times;serif"/>
          <w:b/>
          <w:smallCaps/>
          <w:sz w:val="20"/>
        </w:rPr>
        <w:t>Cash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Annual Retainers</w:t>
      </w:r>
      <w:r>
        <w:rPr>
          <w:rFonts w:ascii="Times New Roman;Times;serif" w:hAnsi="Times New Roman;Times;serif"/>
          <w:sz w:val="20"/>
        </w:rPr>
        <w:t>. Each Non-Employee Director shall receive an annual retainer of $90,000 for service on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Additional Annual Retainers</w:t>
      </w:r>
      <w:r>
        <w:rPr>
          <w:rFonts w:ascii="Times New Roman;Times;serif" w:hAnsi="Times New Roman;Times;serif"/>
          <w:sz w:val="20"/>
        </w:rPr>
        <w:t>. In addition, each Non-Employee Director shall receive the following annual retainers: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i/>
          <w:sz w:val="20"/>
        </w:rPr>
        <w:t>Chairman of the Board or Lead Independent Director</w:t>
      </w:r>
      <w:r>
        <w:rPr>
          <w:rFonts w:ascii="Times New Roman;Times;serif" w:hAnsi="Times New Roman;Times;serif"/>
          <w:sz w:val="20"/>
        </w:rPr>
        <w:t>. A Non-Employee Director serving as Chairman of the Board or Lead Independent Director shall receive an additional annual retainer of $75,000 for such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i/>
          <w:sz w:val="20"/>
        </w:rPr>
        <w:t>Audit Committee</w:t>
      </w:r>
      <w:r>
        <w:rPr>
          <w:rFonts w:ascii="Times New Roman;Times;serif" w:hAnsi="Times New Roman;Times;serif"/>
          <w:sz w:val="20"/>
        </w:rPr>
        <w:t>. A Non-Employee Director serving as Chairperson of the Audit Committee shall receive an additional annual retainer of $40,000 for such service. A Non-Employee Director serving as a member other than the Chairperson of the Audit Committee shall receive an additional annual retainer of $20,000 for such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i/>
          <w:sz w:val="20"/>
        </w:rPr>
        <w:t>Compensation Committee</w:t>
      </w:r>
      <w:r>
        <w:rPr>
          <w:rFonts w:ascii="Times New Roman;Times;serif" w:hAnsi="Times New Roman;Times;serif"/>
          <w:sz w:val="20"/>
        </w:rPr>
        <w:t>. A Non-Employee Director serving as Chairperson of the Compensation Committee shall receive an additional annual retainer of $30,000 for such service. A Non-Employee Director serving as a member other than the Chairperson of the Compensation Committee shall receive an additional annual retainer of $15,000 for such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i/>
          <w:sz w:val="20"/>
        </w:rPr>
        <w:t>Nominating and Corporate Governance Committee</w:t>
      </w:r>
      <w:r>
        <w:rPr>
          <w:rFonts w:ascii="Times New Roman;Times;serif" w:hAnsi="Times New Roman;Times;serif"/>
          <w:sz w:val="20"/>
        </w:rPr>
        <w:t>. A Non-Employee Director serving as Chairperson of the Nominating and Corporate Governance Committee shall receive an additional annual retainer of $30,000 for such service. A Non-Employee Director serving as a member other than the Chairperson of the Nominating and</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Corporate Governance Committee shall receive an additional annual retainer of $15,000 for such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i/>
          <w:sz w:val="20"/>
        </w:rPr>
        <w:t>Science and Technology Committee</w:t>
      </w:r>
      <w:r>
        <w:rPr>
          <w:rFonts w:ascii="Times New Roman;Times;serif" w:hAnsi="Times New Roman;Times;serif"/>
          <w:sz w:val="20"/>
        </w:rPr>
        <w:t>. A Non-Employee Director serving as Chairperson of the Science and Technology Committee shall receive an additional annual retainer of $20,000 for such service. A Non-Employee Director serving as a member other than the Chairperson of the Science and Technology Committee shall receive an additional annual retainer of $10,000 for such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Payment of Retainers</w:t>
      </w:r>
      <w:r>
        <w:rPr>
          <w:rFonts w:ascii="Times New Roman;Times;serif" w:hAnsi="Times New Roman;Times;serif"/>
          <w:sz w:val="20"/>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smallCaps/>
          <w:sz w:val="20"/>
        </w:rPr>
        <w:t>II.</w:t>
      </w:r>
      <w:r>
        <w:rPr>
          <w:rFonts w:ascii="Times New Roman;Times;serif" w:hAnsi="Times New Roman;Times;serif"/>
          <w:b/>
          <w:smallCaps/>
          <w:sz w:val="20"/>
        </w:rPr>
        <w:t>Equity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Non-Employee Directors shall be granted the equity awards described below. The awards described below shall be granted under and shall be subject to the terms and provisions of the Company’s 2018 Incentive Award Plan or any other applicable Company equity incentive plan then-maintained by the Company (the “</w:t>
      </w:r>
      <w:r>
        <w:rPr>
          <w:rFonts w:ascii="Times New Roman;Times;serif" w:hAnsi="Times New Roman;Times;serif"/>
          <w:b/>
          <w:i/>
          <w:sz w:val="20"/>
        </w:rPr>
        <w:t>Equity Plan</w:t>
      </w:r>
      <w:r>
        <w:rPr>
          <w:rFonts w:ascii="Times New Roman;Times;serif" w:hAnsi="Times New Roman;Times;serif"/>
          <w:sz w:val="20"/>
        </w:rPr>
        <w:t>”) and shall be granted subject to award agreements, including attached exhibits, in substantially the forms approved by the Board. All applicable terms of the Equity Plan apply to this Program as if fully set forth herein, and all grants of equity awards hereby are subject in all respects to the terms of the Equity Plan and the applicable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Initial Awards</w:t>
      </w:r>
      <w:r>
        <w:rPr>
          <w:rFonts w:ascii="Times New Roman;Times;serif" w:hAnsi="Times New Roman;Times;serif"/>
          <w:sz w:val="20"/>
        </w:rPr>
        <w:t>. Each Non-Employee Director who is initially elected or appointed to the Board shall receive an option to purchase 50,000 ordinary shares of the Company on the date of such initial election or appointment. The awards described in this Section II(A) shall be referred to as “</w:t>
      </w:r>
      <w:r>
        <w:rPr>
          <w:rFonts w:ascii="Times New Roman;Times;serif" w:hAnsi="Times New Roman;Times;serif"/>
          <w:b/>
          <w:i/>
          <w:sz w:val="20"/>
        </w:rPr>
        <w:t>Initial Awards</w:t>
      </w:r>
      <w:r>
        <w:rPr>
          <w:rFonts w:ascii="Times New Roman;Times;serif" w:hAnsi="Times New Roman;Times;serif"/>
          <w:sz w:val="20"/>
        </w:rPr>
        <w:t>.” No Non-Employee Director shall be granted more than one Initial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Subsequent Awards</w:t>
      </w:r>
      <w:r>
        <w:rPr>
          <w:rFonts w:ascii="Times New Roman;Times;serif" w:hAnsi="Times New Roman;Times;serif"/>
          <w:sz w:val="20"/>
        </w:rPr>
        <w:t>. A Non-Employee Director who (i) has been serving as a Non-Employee Director on the Board for at least six months as of the date of any annual meeting of the Company’s shareholders and (ii) will continue to serve as a Non-Employee Director immediately following such meeting, shall be automatically granted the following equity awards on the date of such annual meeting: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1.A Non-Employee Director serving as Chairman of the Board or Lead Independent Director shall be granted 100,000 restricted share units.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2.A Non-Employee Director serving as a member of the Board other than the Chairman or Lead Independent Director shall be granted 60,000 restricted share units.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awards described in this Section II(B) shall be referred to as “</w:t>
      </w:r>
      <w:r>
        <w:rPr>
          <w:rFonts w:ascii="Times New Roman;Times;serif" w:hAnsi="Times New Roman;Times;serif"/>
          <w:b/>
          <w:i/>
          <w:sz w:val="20"/>
        </w:rPr>
        <w:t>Subsequent Awards</w:t>
      </w:r>
      <w:r>
        <w:rPr>
          <w:rFonts w:ascii="Times New Roman;Times;serif" w:hAnsi="Times New Roman;Times;serif"/>
          <w:sz w:val="20"/>
        </w:rPr>
        <w:t>.” For the avoidance of doubt, a Non-Employee Director elected for the first time to the Board at an annual meeting of the Company’s shareholders shall only receive an Initial Award in connection with such election, and shall not receive any Subsequent Award on the date of such meeting as well.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Termination of Employment of Employee Directors</w:t>
      </w:r>
      <w:r>
        <w:rPr>
          <w:rFonts w:ascii="Times New Roman;Times;serif" w:hAnsi="Times New Roman;Times;serif"/>
          <w:sz w:val="20"/>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Terms of Awards Granted to Non-Employee Directors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i/>
          <w:sz w:val="20"/>
        </w:rPr>
        <w:t>Exercise Price</w:t>
      </w:r>
      <w:r>
        <w:rPr>
          <w:rFonts w:ascii="Times New Roman;Times;serif" w:hAnsi="Times New Roman;Times;serif"/>
          <w:sz w:val="20"/>
        </w:rPr>
        <w:t>. The per share exercise price of each option granted to a Non-Employee Director shall equal the Fair Market Value (as defined in the Equity Plan) of an ordinary share on the date the option is granted.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i/>
          <w:sz w:val="20"/>
        </w:rPr>
        <w:t>Vesting</w:t>
      </w:r>
      <w:r>
        <w:rPr>
          <w:rFonts w:ascii="Times New Roman;Times;serif" w:hAnsi="Times New Roman;Times;serif"/>
          <w:sz w:val="20"/>
        </w:rPr>
        <w:t>. Each Initial Award shall vest and become exercisable in thirty-six (36) substantially equal monthly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on the earlier of the first anniversary of the date of grant or the day immediately prior to the date of the next annual meeting of the Company’s shareholders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as applicable, exercisable. All of a Non-Employee Director’s Initial Awards and Subsequent Awards shall vest in full immediately prior to the occurrence of a Change in Control (as defined in the Equity Plan), to the extent outstanding at such time.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i/>
          <w:sz w:val="20"/>
        </w:rPr>
        <w:t>Term</w:t>
      </w:r>
      <w:r>
        <w:rPr>
          <w:rFonts w:ascii="Times New Roman;Times;serif" w:hAnsi="Times New Roman;Times;serif"/>
          <w:sz w:val="20"/>
        </w:rPr>
        <w:t>. The maximum term of each option granted to a Non-Employee Director hereunder shall be ten (10) years from the date the option is granted.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i/>
          <w:sz w:val="20"/>
        </w:rPr>
        <w:t>Deferral</w:t>
      </w:r>
      <w:r>
        <w:rPr>
          <w:rFonts w:ascii="Times New Roman;Times;serif" w:hAnsi="Times New Roman;Times;serif"/>
          <w:sz w:val="20"/>
        </w:rPr>
        <w:t>. The Board may provide that the settlement of restricted share units be deferred, on a mandatory basis or at the Non-Employee Director’s election, on such terms as determined by the Board.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 * *</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2"/>
        </w:rPr>
      </w:pPr>
      <w:bookmarkStart w:id="1609" w:name="mgtx-20260630xex10d13.htm"/>
      <w:bookmarkStart w:id="1610" w:name="ksmgtx20260630xex10d13"/>
      <w:bookmarkEnd w:id="1609"/>
      <w:bookmarkEnd w:id="1610"/>
      <w:r>
        <w:rPr>
          <w:rFonts w:ascii="Times New Roman;Times;serif" w:hAnsi="Times New Roman;Times;serif"/>
          <w:b/>
          <w:sz w:val="22"/>
        </w:rPr>
        <w:t>Exhibit 10.13</w:t>
      </w:r>
      <w:r>
        <w:br w:type="page"/>
      </w:r>
    </w:p>
    <w:p>
      <w:pPr>
        <w:pStyle w:val="TextBody"/>
        <w:pBdr>
          <w:top w:val="single" w:sz="2" w:space="6" w:color="000000"/>
          <w:left w:val="single" w:sz="2" w:space="6" w:color="000000"/>
          <w:right w:val="single" w:sz="2" w:space="6" w:color="000000"/>
        </w:pBdr>
        <w:bidi w:val="0"/>
        <w:spacing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MEIRAGTX HOLDINGS PLC</w:t>
      </w:r>
    </w:p>
    <w:p>
      <w:pPr>
        <w:pStyle w:val="TextBody"/>
        <w:pBdr>
          <w:left w:val="single" w:sz="2" w:space="6" w:color="000000"/>
          <w:bottom w:val="single" w:sz="2" w:space="6" w:color="000000"/>
          <w:right w:val="single" w:sz="2" w:space="6" w:color="000000"/>
        </w:pBdr>
        <w:bidi w:val="0"/>
        <w:spacing w:before="0" w:after="200"/>
        <w:ind w:left="0" w:right="0" w:hanging="0"/>
        <w:jc w:val="center"/>
        <w:rPr>
          <w:rFonts w:ascii="Times New Roman;Times;serif" w:hAnsi="Times New Roman;Times;serif"/>
          <w:b/>
          <w:smallCaps/>
          <w:sz w:val="22"/>
        </w:rPr>
      </w:pPr>
      <w:r>
        <w:rPr>
          <w:rFonts w:ascii="Times New Roman;Times;serif" w:hAnsi="Times New Roman;Times;serif"/>
          <w:b/>
          <w:smallCaps/>
          <w:sz w:val="22"/>
        </w:rPr>
        <w:t>2026 EMPLOYMENT INDUCEMENT AWARD PLAN</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Purpose</w:t>
      </w:r>
    </w:p>
    <w:p>
      <w:pPr>
        <w:pStyle w:val="TextBody"/>
        <w:bidi w:val="0"/>
        <w:spacing w:before="0" w:after="200"/>
        <w:ind w:left="0" w:right="0" w:firstLine="720"/>
        <w:jc w:val="both"/>
        <w:rPr>
          <w:rFonts w:ascii="Times New Roman;Times;serif" w:hAnsi="Times New Roman;Times;serif"/>
          <w:sz w:val="22"/>
        </w:rPr>
      </w:pPr>
      <w:r>
        <w:rPr>
          <w:rFonts w:ascii="Times New Roman;Times;serif" w:hAnsi="Times New Roman;Times;serif"/>
          <w:sz w:val="22"/>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II.</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Eligibility</w:t>
      </w:r>
    </w:p>
    <w:p>
      <w:pPr>
        <w:pStyle w:val="TextBody"/>
        <w:bidi w:val="0"/>
        <w:spacing w:before="0" w:after="200"/>
        <w:ind w:left="0" w:right="0" w:firstLine="720"/>
        <w:jc w:val="both"/>
        <w:rPr>
          <w:rFonts w:ascii="Times New Roman;Times;serif" w:hAnsi="Times New Roman;Times;serif"/>
          <w:sz w:val="22"/>
        </w:rPr>
      </w:pPr>
      <w:r>
        <w:rPr>
          <w:rFonts w:ascii="Times New Roman;Times;serif" w:hAnsi="Times New Roman;Times;serif"/>
          <w:sz w:val="22"/>
        </w:rPr>
        <w:t>Eligible Individuals are eligible to be granted Awards under the Plan, subject to the limitations described herein.</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III.</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Administration and Delegation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3.1</w:t>
      </w:r>
      <w:r>
        <w:rPr>
          <w:rFonts w:ascii="Times New Roman;Times;serif" w:hAnsi="Times New Roman;Times;serif"/>
          <w:sz w:val="22"/>
          <w:u w:val="single"/>
        </w:rPr>
        <w:t>Administration</w:t>
      </w:r>
      <w:r>
        <w:rPr>
          <w:rFonts w:ascii="Times New Roman;Times;serif" w:hAnsi="Times New Roman;Times;serif"/>
          <w:sz w:val="22"/>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3.2</w:t>
      </w:r>
      <w:r>
        <w:rPr>
          <w:rFonts w:ascii="Times New Roman;Times;serif" w:hAnsi="Times New Roman;Times;serif"/>
          <w:sz w:val="22"/>
          <w:u w:val="single"/>
        </w:rPr>
        <w:t>Appointment of Committees</w:t>
      </w:r>
      <w:r>
        <w:rPr>
          <w:rFonts w:ascii="Times New Roman;Times;serif" w:hAnsi="Times New Roman;Times;serif"/>
          <w:sz w:val="22"/>
        </w:rPr>
        <w:t>.  To the extent Applicable Laws permit, the Board may delegate any or all of its powers under the Plan to one or more Committees. The Board may abolish any Committee or re-vest in itself any previously delegated authority at any time.</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IV.</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Shares Available for Awards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w:t>
      </w:r>
      <w:r>
        <w:rPr>
          <w:rFonts w:ascii="Times New Roman;Times;serif" w:hAnsi="Times New Roman;Times;serif"/>
          <w:sz w:val="22"/>
          <w:u w:val="single"/>
        </w:rPr>
        <w:t>Number of Shares</w:t>
      </w:r>
      <w:r>
        <w:rPr>
          <w:rFonts w:ascii="Times New Roman;Times;serif" w:hAnsi="Times New Roman;Times;serif"/>
          <w:sz w:val="22"/>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4.2</w:t>
      </w:r>
      <w:r>
        <w:rPr>
          <w:rFonts w:ascii="Times New Roman;Times;serif" w:hAnsi="Times New Roman;Times;serif"/>
          <w:sz w:val="22"/>
          <w:u w:val="single"/>
        </w:rPr>
        <w:t>Share Recycling</w:t>
      </w:r>
      <w:r>
        <w:rPr>
          <w:rFonts w:ascii="Times New Roman;Times;serif" w:hAnsi="Times New Roman;Times;serif"/>
          <w:sz w:val="22"/>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Options and Share Appreciation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5.1</w:t>
      </w:r>
      <w:r>
        <w:rPr>
          <w:rFonts w:ascii="Times New Roman;Times;serif" w:hAnsi="Times New Roman;Times;serif"/>
          <w:sz w:val="22"/>
          <w:u w:val="single"/>
        </w:rPr>
        <w:t>General</w:t>
      </w:r>
      <w:r>
        <w:rPr>
          <w:rFonts w:ascii="Times New Roman;Times;serif" w:hAnsi="Times New Roman;Times;serif"/>
          <w:sz w:val="22"/>
        </w:rPr>
        <w:t>.  The Administrator may grant Non-Qualified Options or Share Appreciation Rights to Eligible Individuals subject to the conditions and limitations in the Plan. The Administrator will determine the number of Shares covered by each Option and Share Appreciation Right, the exercise price of each Option and Share Appreciation Right and the conditions and limitations applicable to the exercise of each Option and Share Appreciation Right. A Share Appreciation Right will entitle the Participant (or other person entitled to exercise the Share Appreciation Right) to receive from the Company upon exercise of the exercisable portion of the Share Appreciation Right an amount determined by multiplying the excess, if any, of the Fair Market Value of one Share on the date of exercise over the exercise price per Share of the Share Appreciation Right by the number of Shares with respect to which the Share Appreciation Right is exercised, subject to any limitations of the Plan or that the Administrator may impose and payable in cash, Shares valued at Fair Market Value or a combination of the two as the Administrator may determine or provide in the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5.2</w:t>
      </w:r>
      <w:r>
        <w:rPr>
          <w:rFonts w:ascii="Times New Roman;Times;serif" w:hAnsi="Times New Roman;Times;serif"/>
          <w:sz w:val="22"/>
          <w:u w:val="single"/>
        </w:rPr>
        <w:t>Exercise Price</w:t>
      </w:r>
      <w:r>
        <w:rPr>
          <w:rFonts w:ascii="Times New Roman;Times;serif" w:hAnsi="Times New Roman;Times;serif"/>
          <w:sz w:val="22"/>
        </w:rPr>
        <w:t>.  The Administrator will establish each Option’s and Share Appreciation Right’s exercise price and specify the exercise price in the Award Agreement. The exercise price will not be less than 100% of the Fair Market Value on the grant date of the Option or Share Appreciation Right.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5.3</w:t>
      </w:r>
      <w:r>
        <w:rPr>
          <w:rFonts w:ascii="Times New Roman;Times;serif" w:hAnsi="Times New Roman;Times;serif"/>
          <w:sz w:val="22"/>
          <w:u w:val="single"/>
        </w:rPr>
        <w:t>Duration</w:t>
      </w:r>
      <w:r>
        <w:rPr>
          <w:rFonts w:ascii="Times New Roman;Times;serif" w:hAnsi="Times New Roman;Times;serif"/>
          <w:sz w:val="22"/>
        </w:rPr>
        <w:t>.  Each Option or Share Appreciation Right will be exercisable at such times and as specified in the Award Agreement, provided that the term of an Option or Share Appreciation Right will not exceed ten years. Notwithstanding the foregoing and unless determined otherwise by the Company, in the event that on the last business day of the term of an Option or Share Appreciation Right (i) the exercise of the Option or Share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Share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Share Appreciation Right. Notwithstanding the foregoing, if the Participant, prior to the end of the term of an Option or Share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Share Appreciation Right issued to the Participant shall terminate immediately upon such violation, unless the Company otherwise determines. In addition, if, prior to the end of the term of an Option or Share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Share Appreciation Right issued to the Participant shall be suspended from the time of the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Share Appreciation Right issued to the Participant will terminate immediately upon the effective date of such Termination of Service).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5.4</w:t>
      </w:r>
      <w:r>
        <w:rPr>
          <w:rFonts w:ascii="Times New Roman;Times;serif" w:hAnsi="Times New Roman;Times;serif"/>
          <w:sz w:val="22"/>
          <w:u w:val="single"/>
        </w:rPr>
        <w:t>Exercise</w:t>
      </w:r>
      <w:r>
        <w:rPr>
          <w:rFonts w:ascii="Times New Roman;Times;serif" w:hAnsi="Times New Roman;Times;serif"/>
          <w:sz w:val="22"/>
        </w:rPr>
        <w:t>.  Options and Share Appreciation Rights may be exercised by delivering to the Company a written notice of exercise, in a form the Administrator approves (which may be electronic), signed by the person authorized to exercise the Option or Share Appreciation Right, together with, as applicable, payment in full (i) as specified in Section 5.5 for the number of Shares for which the Award is exercised and (ii) as specified in Section 9.5 for any applicable taxes. Unless the Administrator otherwise determines, an Option or Share Appreciation Right may not be exercised for a fraction of a Share.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5.5</w:t>
      </w:r>
      <w:r>
        <w:rPr>
          <w:rFonts w:ascii="Times New Roman;Times;serif" w:hAnsi="Times New Roman;Times;serif"/>
          <w:sz w:val="22"/>
          <w:u w:val="single"/>
        </w:rPr>
        <w:t>Payment Upon Exercise</w:t>
      </w:r>
      <w:r>
        <w:rPr>
          <w:rFonts w:ascii="Times New Roman;Times;serif" w:hAnsi="Times New Roman;Times;serif"/>
          <w:sz w:val="22"/>
        </w:rPr>
        <w:t>.  Subject to Section 10.9, any Company insider trading policy (including blackout periods) and Applicable Laws, the exercise price of an Option must be paid by: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cash, wire transfer of immediately available funds or by check payable to the order of the Company, provided that the Company may limit the use of one of the foregoing payment forms if one or more of the payment forms below is permitted;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to the extent permitted by the Administrator, delivery (either by actual delivery or attestation) of Shares owned by the Participant valued at their Fair Market Value;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to the extent permitted by the Administrator, surrendering Shares then issuable upon the Option’s exercise valued at their Fair Market Value on the exercise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to the extent permitted by the Administrator, delivery of a promissory note or any other property that the Administrator determines is good and valuable consideration;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to the extent permitted by the Company, any combination of the above payment forms approved by the Administrator.</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ARTICLE VI.</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Restricted Shares; Restricted Share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6.1</w:t>
      </w:r>
      <w:r>
        <w:rPr>
          <w:rFonts w:ascii="Times New Roman;Times;serif" w:hAnsi="Times New Roman;Times;serif"/>
          <w:sz w:val="22"/>
          <w:u w:val="single"/>
        </w:rPr>
        <w:t>General</w:t>
      </w:r>
      <w:r>
        <w:rPr>
          <w:rFonts w:ascii="Times New Roman;Times;serif" w:hAnsi="Times New Roman;Times;serif"/>
          <w:sz w:val="22"/>
        </w:rPr>
        <w:t>.  The Administrator may grant Restricted Shares, or the right to purchase Restricted Shares, to any Eligible Individual,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Share Units, which may be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subject to vesting and forfeiture conditions during the applicable restriction period or periods, as set forth in an Award Agreement. The Administrator will determine and set forth in the Award Agreement the terms and conditions for each Restricted Shares and Restricted Share Unit Award, subject to the conditions and limitations contained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6.2</w:t>
      </w:r>
      <w:r>
        <w:rPr>
          <w:rFonts w:ascii="Times New Roman;Times;serif" w:hAnsi="Times New Roman;Times;serif"/>
          <w:sz w:val="22"/>
          <w:u w:val="single"/>
        </w:rPr>
        <w:t>Restricted Shares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Dividends</w:t>
      </w:r>
      <w:r>
        <w:rPr>
          <w:rFonts w:ascii="Times New Roman;Times;serif" w:hAnsi="Times New Roman;Times;serif"/>
          <w:sz w:val="22"/>
        </w:rPr>
        <w:t>.  Participants holding Restricted Shares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Ordinary Shares of property other than an ordinary cash dividend, the Shares or other property will be subject to the same restrictions on transferability and forfeitability as the Restricted Shares with respect to which they were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Share Certificates</w:t>
      </w:r>
      <w:r>
        <w:rPr>
          <w:rFonts w:ascii="Times New Roman;Times;serif" w:hAnsi="Times New Roman;Times;serif"/>
          <w:sz w:val="22"/>
        </w:rPr>
        <w:t>.  The Company may require that the Participant deposit in escrow with the Company (or its designee) any share certificates issued in respect of the Restricted Shares, together with a form of proxy and form of transfer endorsed in blank.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6.3</w:t>
      </w:r>
      <w:r>
        <w:rPr>
          <w:rFonts w:ascii="Times New Roman;Times;serif" w:hAnsi="Times New Roman;Times;serif"/>
          <w:sz w:val="22"/>
          <w:u w:val="single"/>
        </w:rPr>
        <w:t>Restricted Share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Settlement</w:t>
      </w:r>
      <w:r>
        <w:rPr>
          <w:rFonts w:ascii="Times New Roman;Times;serif" w:hAnsi="Times New Roman;Times;serif"/>
          <w:sz w:val="22"/>
        </w:rPr>
        <w:t>.  The Administrator may provide that settlement of Restricted Share Units will occur upon or as soon as reasonably practicable after the Restricted Share Units vest or will instead be deferred, on a mandatory basis or at the Participant’s election, in a manner intended to comply with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Shareholder Rights</w:t>
      </w:r>
      <w:r>
        <w:rPr>
          <w:rFonts w:ascii="Times New Roman;Times;serif" w:hAnsi="Times New Roman;Times;serif"/>
          <w:sz w:val="22"/>
        </w:rPr>
        <w:t>. A Participant will have no rights of a shareholder with respect to Shares subject to any Restricted Share Unit unless and until the Shares are delivered in settlement of the Restricted Share Unit.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Dividend Equivalents</w:t>
      </w:r>
      <w:r>
        <w:rPr>
          <w:rFonts w:ascii="Times New Roman;Times;serif" w:hAnsi="Times New Roman;Times;serif"/>
          <w:sz w:val="22"/>
        </w:rPr>
        <w:t>.  If the Administrator provides, a grant of Restricted Share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Share Units with respect to which the Dividend Equivalents are granted and subject to other terms and conditions as set forth in the Award Agreement.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VII.</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Other Share or Cash Based Awards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Other Share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Share or Cash Based Awards will also be available as a payment form in the settlement of other Awards, as standalone payments and as payment in lieu of compensation to which a Participant is otherwise entitled. Other Share or Cash Based Awards may be paid in Shares, cash or other property, as the Administrator determines. Subject to the provisions of the Plan, the Administrator will determine the terms and conditions of each Other Share or Cash Based Award, including any purchase price, performance goal (which may be based on the Performance Criteria), transfer restrictions, and vesting conditions, which will be set forth in the applicable Award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VIII.</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Adjustments for Changes in Ordinary shares</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and Certain Other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8.1</w:t>
      </w:r>
      <w:r>
        <w:rPr>
          <w:rFonts w:ascii="Times New Roman;Times;serif" w:hAnsi="Times New Roman;Times;serif"/>
          <w:sz w:val="22"/>
          <w:u w:val="single"/>
        </w:rPr>
        <w:t>Equity Restructuring</w:t>
      </w:r>
      <w:r>
        <w:rPr>
          <w:rFonts w:ascii="Times New Roman;Times;serif" w:hAnsi="Times New Roman;Times;serif"/>
          <w:sz w:val="22"/>
        </w:rPr>
        <w:t>(a).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8.2</w:t>
      </w:r>
      <w:r>
        <w:rPr>
          <w:rFonts w:ascii="Times New Roman;Times;serif" w:hAnsi="Times New Roman;Times;serif"/>
          <w:sz w:val="22"/>
          <w:u w:val="single"/>
        </w:rPr>
        <w:t>Corporate Transactions</w:t>
      </w:r>
      <w:r>
        <w:rPr>
          <w:rFonts w:ascii="Times New Roman;Times;serif" w:hAnsi="Times New Roman;Times;serif"/>
          <w:sz w:val="22"/>
        </w:rPr>
        <w:t>.  In the event of any dividend or other distribution (whether in the form of cash, Ordinary Shares, other securities, or other property), reorganization, merger, consolidation, combination, amalgamation, repurchase, recapitalization, liquidation, dissolution, or sale, transfer, exchange or other disposition of all or substantially all of the assets of the Company, or sale or exchange of Ordinary Shares or other securities of the Company, Change in Control, issuance of warrants or other rights to purchase Ordinary Shares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To provide that such Award shall vest and, to the extent applicable, be exercisable as to all shares covered thereby, notwithstanding anything to the contrary in the Plan or the provisions of such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To make adjustments in the number and type of Ordinary Shares (or other securities or property) subject to outstanding Awards and/or with respect to which Awards may be granted under the Plan (including, but not limited to, adjustments of the limitations in Article IV hereof on the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maximum number and kind of shares which may be issued) and/or in the terms and conditions of (including the grant or exercise price), and the criteria included in, outstanding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To replace such Award with other rights or property selected by the Administrator; and/or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To provide that the Award will terminate and cannot vest, be exercised or become payable after the applicable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8.3</w:t>
      </w:r>
      <w:r>
        <w:rPr>
          <w:rFonts w:ascii="Times New Roman;Times;serif" w:hAnsi="Times New Roman;Times;serif"/>
          <w:sz w:val="22"/>
          <w:u w:val="single"/>
        </w:rPr>
        <w:t>Administrative Stand Still</w:t>
      </w:r>
      <w:r>
        <w:rPr>
          <w:rFonts w:ascii="Times New Roman;Times;serif" w:hAnsi="Times New Roman;Times;serif"/>
          <w:sz w:val="22"/>
        </w:rPr>
        <w:t>.  In the event of any pending share dividend, share split, combination or exchange of shares, merger, consolidation or other distribution (other than normal cash dividends) of Company assets to shareholders, or any other extraordinary transaction or change affecting the Shares or the share price of Ordinary Shares, including any Equity Restructuring or any securities offering or other similar transaction, for administrative convenience, the Administrator may refuse to permit the exercise of any Award for up to sixty days before or after such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8.4</w:t>
      </w:r>
      <w:r>
        <w:rPr>
          <w:rFonts w:ascii="Times New Roman;Times;serif" w:hAnsi="Times New Roman;Times;serif"/>
          <w:sz w:val="22"/>
          <w:u w:val="single"/>
        </w:rPr>
        <w:t>General</w:t>
      </w:r>
      <w:r>
        <w:rPr>
          <w:rFonts w:ascii="Times New Roman;Times;serif" w:hAnsi="Times New Roman;Times;serif"/>
          <w:sz w:val="22"/>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IX.</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General Provisions Applicable to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9.1</w:t>
      </w:r>
      <w:r>
        <w:rPr>
          <w:rFonts w:ascii="Times New Roman;Times;serif" w:hAnsi="Times New Roman;Times;serif"/>
          <w:sz w:val="22"/>
          <w:u w:val="single"/>
        </w:rPr>
        <w:t>Transferability</w:t>
      </w:r>
      <w:r>
        <w:rPr>
          <w:rFonts w:ascii="Times New Roman;Times;serif" w:hAnsi="Times New Roman;Times;serif"/>
          <w:sz w:val="22"/>
        </w:rPr>
        <w:t>.  Except as the Administrator may determine or provide in an Award Agreement or otherwise for Awards,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9.2</w:t>
      </w:r>
      <w:r>
        <w:rPr>
          <w:rFonts w:ascii="Times New Roman;Times;serif" w:hAnsi="Times New Roman;Times;serif"/>
          <w:sz w:val="22"/>
          <w:u w:val="single"/>
        </w:rPr>
        <w:t>Documentation</w:t>
      </w:r>
      <w:r>
        <w:rPr>
          <w:rFonts w:ascii="Times New Roman;Times;serif" w:hAnsi="Times New Roman;Times;serif"/>
          <w:sz w:val="22"/>
        </w:rPr>
        <w:t>.  Each Award will be evidenced in an Award Agreement, which may be written or electronic, as the Administrator determines. Each Award may contain terms and conditions in addition to those set forth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9.3</w:t>
      </w:r>
      <w:r>
        <w:rPr>
          <w:rFonts w:ascii="Times New Roman;Times;serif" w:hAnsi="Times New Roman;Times;serif"/>
          <w:sz w:val="22"/>
          <w:u w:val="single"/>
        </w:rPr>
        <w:t>Discretion</w:t>
      </w:r>
      <w:r>
        <w:rPr>
          <w:rFonts w:ascii="Times New Roman;Times;serif" w:hAnsi="Times New Roman;Times;serif"/>
          <w:sz w:val="22"/>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9.4</w:t>
      </w:r>
      <w:r>
        <w:rPr>
          <w:rFonts w:ascii="Times New Roman;Times;serif" w:hAnsi="Times New Roman;Times;serif"/>
          <w:sz w:val="22"/>
          <w:u w:val="single"/>
        </w:rPr>
        <w:t>Termination of Status</w:t>
      </w:r>
      <w:r>
        <w:rPr>
          <w:rFonts w:ascii="Times New Roman;Times;serif" w:hAnsi="Times New Roman;Times;serif"/>
          <w:sz w:val="22"/>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9.5</w:t>
      </w:r>
      <w:r>
        <w:rPr>
          <w:rFonts w:ascii="Times New Roman;Times;serif" w:hAnsi="Times New Roman;Times;serif"/>
          <w:sz w:val="22"/>
          <w:u w:val="single"/>
        </w:rPr>
        <w:t>Withholding</w:t>
      </w:r>
      <w:r>
        <w:rPr>
          <w:rFonts w:ascii="Times New Roman;Times;serif" w:hAnsi="Times New Roman;Times;serif"/>
          <w:sz w:val="22"/>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9.6</w:t>
      </w:r>
      <w:r>
        <w:rPr>
          <w:rFonts w:ascii="Times New Roman;Times;serif" w:hAnsi="Times New Roman;Times;serif"/>
          <w:sz w:val="22"/>
          <w:u w:val="single"/>
        </w:rPr>
        <w:t>Amendment of Award; Repricing</w:t>
      </w:r>
      <w:r>
        <w:rPr>
          <w:rFonts w:ascii="Times New Roman;Times;serif" w:hAnsi="Times New Roman;Times;serif"/>
          <w:sz w:val="22"/>
        </w:rPr>
        <w:t>.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shareholders of the Company, reduce the exercise price per share of outstanding Options or Share Appreciation Rights or cancel outstanding Options or Share Appreciation Rights in exchange for cash, other Awards or Options or Share Appreciation Rights with an exercise price per share that is less than the exercise price per share of the original Options or Share Appreciation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9.7</w:t>
      </w:r>
      <w:r>
        <w:rPr>
          <w:rFonts w:ascii="Times New Roman;Times;serif" w:hAnsi="Times New Roman;Times;serif"/>
          <w:sz w:val="22"/>
          <w:u w:val="single"/>
        </w:rPr>
        <w:t>Conditions on Delivery of Shares</w:t>
      </w:r>
      <w:r>
        <w:rPr>
          <w:rFonts w:ascii="Times New Roman;Times;serif" w:hAnsi="Times New Roman;Times;serif"/>
          <w:sz w:val="22"/>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9.8</w:t>
      </w:r>
      <w:r>
        <w:rPr>
          <w:rFonts w:ascii="Times New Roman;Times;serif" w:hAnsi="Times New Roman;Times;serif"/>
          <w:sz w:val="22"/>
          <w:u w:val="single"/>
        </w:rPr>
        <w:t>Acceleration</w:t>
      </w:r>
      <w:r>
        <w:rPr>
          <w:rFonts w:ascii="Times New Roman;Times;serif" w:hAnsi="Times New Roman;Times;serif"/>
          <w:sz w:val="22"/>
        </w:rPr>
        <w:t>.  The Administrator may at any time provide that any Award will become immediately vested and fully or partially exercisable, free of some or all restrictions or conditions, or otherwise fully or partially realizable.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9.9</w:t>
      </w:r>
      <w:r>
        <w:rPr>
          <w:rFonts w:ascii="Times New Roman;Times;serif" w:hAnsi="Times New Roman;Times;serif"/>
          <w:sz w:val="22"/>
          <w:u w:val="single"/>
        </w:rPr>
        <w:t>Action Required Upon Grant of Award</w:t>
      </w:r>
      <w:r>
        <w:rPr>
          <w:rFonts w:ascii="Times New Roman;Times;serif" w:hAnsi="Times New Roman;Times;serif"/>
          <w:sz w:val="22"/>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w:t>
      </w:r>
      <w:r>
        <w:rPr>
          <w:rFonts w:ascii="Times New Roman;Times;serif" w:hAnsi="Times New Roman;Times;serif"/>
          <w:sz w:val="22"/>
          <w:u w:val="single"/>
        </w:rPr>
        <w:t>No Right to Employment or Other Status</w:t>
      </w:r>
      <w:r>
        <w:rPr>
          <w:rFonts w:ascii="Times New Roman;Times;serif" w:hAnsi="Times New Roman;Times;serif"/>
          <w:sz w:val="22"/>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10.2</w:t>
      </w:r>
      <w:r>
        <w:rPr>
          <w:rFonts w:ascii="Times New Roman;Times;serif" w:hAnsi="Times New Roman;Times;serif"/>
          <w:sz w:val="22"/>
          <w:u w:val="single"/>
        </w:rPr>
        <w:t>No Rights as Shareholder; Certificates</w:t>
      </w:r>
      <w:r>
        <w:rPr>
          <w:rFonts w:ascii="Times New Roman;Times;serif" w:hAnsi="Times New Roman;Times;serif"/>
          <w:sz w:val="22"/>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share plan administrator). The Company may place legends on share certificates issued under the Plan that the Administrator deems necessary or appropriate to comply with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10.3</w:t>
      </w:r>
      <w:r>
        <w:rPr>
          <w:rFonts w:ascii="Times New Roman;Times;serif" w:hAnsi="Times New Roman;Times;serif"/>
          <w:sz w:val="22"/>
          <w:u w:val="single"/>
        </w:rPr>
        <w:t>Effective Date and Term of Plan</w:t>
      </w:r>
      <w:r>
        <w:rPr>
          <w:rFonts w:ascii="Times New Roman;Times;serif" w:hAnsi="Times New Roman;Times;serif"/>
          <w:sz w:val="22"/>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10.4</w:t>
      </w:r>
      <w:r>
        <w:rPr>
          <w:rFonts w:ascii="Times New Roman;Times;serif" w:hAnsi="Times New Roman;Times;serif"/>
          <w:sz w:val="22"/>
          <w:u w:val="single"/>
        </w:rPr>
        <w:t>Shareholder Approval Not Required</w:t>
      </w:r>
      <w:r>
        <w:rPr>
          <w:rFonts w:ascii="Times New Roman;Times;serif" w:hAnsi="Times New Roman;Times;serif"/>
          <w:sz w:val="22"/>
        </w:rPr>
        <w:t>.  It is expressly intended that approval of the Company’s shareholders will not be required as a condition of the effectiveness of the Plan, and the Plan’s provisions shall be interpreted in a manner consistent with such intent for all purposes. Specifically, NASDAQ Rule 5635(c) generally requires shareholder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10.5</w:t>
      </w:r>
      <w:r>
        <w:rPr>
          <w:rFonts w:ascii="Times New Roman;Times;serif" w:hAnsi="Times New Roman;Times;serif"/>
          <w:sz w:val="22"/>
          <w:u w:val="single"/>
        </w:rPr>
        <w:t>Amendment of Plan</w:t>
      </w:r>
      <w:r>
        <w:rPr>
          <w:rFonts w:ascii="Times New Roman;Times;serif" w:hAnsi="Times New Roman;Times;serif"/>
          <w:sz w:val="22"/>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shareholder approval of any Plan amendment to the extent necessary to comply with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10.6</w:t>
      </w:r>
      <w:r>
        <w:rPr>
          <w:rFonts w:ascii="Times New Roman;Times;serif" w:hAnsi="Times New Roman;Times;serif"/>
          <w:sz w:val="22"/>
          <w:u w:val="single"/>
        </w:rPr>
        <w:t>Provisions for Non-US Participants</w:t>
      </w:r>
      <w:r>
        <w:rPr>
          <w:rFonts w:ascii="Times New Roman;Times;serif" w:hAnsi="Times New Roman;Times;serif"/>
          <w:sz w:val="22"/>
        </w:rPr>
        <w:t>.  The Administrator may modify Awards granted to Participants who are non-US nationals or employed outside the United States or establish subplans or procedures under the Plan to address differences in laws, rules, regulations or customs of such jurisdictions outside the United States with respect to tax, securities, currency, employee benefit or other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10.7</w:t>
      </w:r>
      <w:r>
        <w:rPr>
          <w:rFonts w:ascii="Times New Roman;Times;serif" w:hAnsi="Times New Roman;Times;serif"/>
          <w:sz w:val="22"/>
          <w:u w:val="single"/>
        </w:rPr>
        <w:t>Section 409A</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General</w:t>
      </w:r>
      <w:r>
        <w:rPr>
          <w:rFonts w:ascii="Times New Roman;Times;serif" w:hAnsi="Times New Roman;Times;serif"/>
          <w:sz w:val="22"/>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Separation from Service</w:t>
      </w:r>
      <w:r>
        <w:rPr>
          <w:rFonts w:ascii="Times New Roman;Times;serif" w:hAnsi="Times New Roman;Times;serif"/>
          <w:sz w:val="22"/>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Payments to Specified Employees</w:t>
      </w:r>
      <w:r>
        <w:rPr>
          <w:rFonts w:ascii="Times New Roman;Times;serif" w:hAnsi="Times New Roman;Times;serif"/>
          <w:sz w:val="22"/>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10.8</w:t>
      </w:r>
      <w:r>
        <w:rPr>
          <w:rFonts w:ascii="Times New Roman;Times;serif" w:hAnsi="Times New Roman;Times;serif"/>
          <w:sz w:val="22"/>
          <w:u w:val="single"/>
        </w:rPr>
        <w:t>Limitations on Liability</w:t>
      </w:r>
      <w:r>
        <w:rPr>
          <w:rFonts w:ascii="Times New Roman;Times;serif" w:hAnsi="Times New Roman;Times;serif"/>
          <w:sz w:val="22"/>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10.9</w:t>
      </w:r>
      <w:r>
        <w:rPr>
          <w:rFonts w:ascii="Times New Roman;Times;serif" w:hAnsi="Times New Roman;Times;serif"/>
          <w:sz w:val="22"/>
          <w:u w:val="single"/>
        </w:rPr>
        <w:t>Lock-Up Period</w:t>
      </w:r>
      <w:r>
        <w:rPr>
          <w:rFonts w:ascii="Times New Roman;Times;serif" w:hAnsi="Times New Roman;Times;serif"/>
          <w:sz w:val="22"/>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10.10</w:t>
      </w:r>
      <w:r>
        <w:rPr>
          <w:rFonts w:ascii="Times New Roman;Times;serif" w:hAnsi="Times New Roman;Times;serif"/>
          <w:sz w:val="22"/>
          <w:u w:val="single"/>
        </w:rPr>
        <w:t>Data Privacy</w:t>
      </w:r>
      <w:r>
        <w:rPr>
          <w:rFonts w:ascii="Times New Roman;Times;serif" w:hAnsi="Times New Roman;Times;serif"/>
          <w:sz w:val="22"/>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Times;serif" w:hAnsi="Times New Roman;Times;serif"/>
          <w:b/>
          <w:i/>
          <w:sz w:val="22"/>
        </w:rPr>
        <w:t>Data</w:t>
      </w:r>
      <w:r>
        <w:rPr>
          <w:rFonts w:ascii="Times New Roman;Times;serif" w:hAnsi="Times New Roman;Times;serif"/>
          <w:sz w:val="20"/>
        </w:rPr>
        <w:t>”</w:t>
      </w:r>
      <w:r>
        <w:rPr>
          <w:rFonts w:ascii="Times New Roman;Times;serif" w:hAnsi="Times New Roman;Times;serif"/>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10.11</w:t>
      </w:r>
      <w:r>
        <w:rPr>
          <w:rFonts w:ascii="Times New Roman;Times;serif" w:hAnsi="Times New Roman;Times;serif"/>
          <w:sz w:val="22"/>
          <w:u w:val="single"/>
        </w:rPr>
        <w:t>Severability</w:t>
      </w:r>
      <w:r>
        <w:rPr>
          <w:rFonts w:ascii="Times New Roman;Times;serif" w:hAnsi="Times New Roman;Times;serif"/>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10.12</w:t>
      </w:r>
      <w:r>
        <w:rPr>
          <w:rFonts w:ascii="Times New Roman;Times;serif" w:hAnsi="Times New Roman;Times;serif"/>
          <w:sz w:val="22"/>
          <w:u w:val="single"/>
        </w:rPr>
        <w:t>Governing Documents</w:t>
      </w:r>
      <w:r>
        <w:rPr>
          <w:rFonts w:ascii="Times New Roman;Times;serif" w:hAnsi="Times New Roman;Times;serif"/>
          <w:sz w:val="22"/>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10.13</w:t>
      </w:r>
      <w:r>
        <w:rPr>
          <w:rFonts w:ascii="Times New Roman;Times;serif" w:hAnsi="Times New Roman;Times;serif"/>
          <w:sz w:val="22"/>
          <w:u w:val="single"/>
        </w:rPr>
        <w:t>Governing Law</w:t>
      </w:r>
      <w:r>
        <w:rPr>
          <w:rFonts w:ascii="Times New Roman;Times;serif" w:hAnsi="Times New Roman;Times;serif"/>
          <w:sz w:val="22"/>
        </w:rPr>
        <w:t>.  The Plan and all Awards will be governed by and interpreted in accordance with the laws of the Cayman Islands, disregarding any choice-of-law principles requiring the application of a jurisdiction’s laws other than the Cayman Islands.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10.14</w:t>
      </w:r>
      <w:r>
        <w:rPr>
          <w:rFonts w:ascii="Times New Roman;Times;serif" w:hAnsi="Times New Roman;Times;serif"/>
          <w:sz w:val="22"/>
          <w:u w:val="single"/>
        </w:rPr>
        <w:t>Claw-back Provisions</w:t>
      </w:r>
      <w:r>
        <w:rPr>
          <w:rFonts w:ascii="Times New Roman;Times;serif" w:hAnsi="Times New Roman;Times;serif"/>
          <w:sz w:val="22"/>
        </w:rPr>
        <w:t>.  All Awards (including any proceeds, gains or other economic benefit the Participant actually or constructively receives upon receipt or exercise of any Award or the receipt or resale of any Shares underlying the Award) will be subject to the Company’s Policy for Recovery of Erroneously Awarded Compensation and any other claw-back policy, as set forth in such claw-back policy or the Award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10.15</w:t>
      </w:r>
      <w:r>
        <w:rPr>
          <w:rFonts w:ascii="Times New Roman;Times;serif" w:hAnsi="Times New Roman;Times;serif"/>
          <w:sz w:val="22"/>
          <w:u w:val="single"/>
        </w:rPr>
        <w:t>Titles and Headings</w:t>
      </w:r>
      <w:r>
        <w:rPr>
          <w:rFonts w:ascii="Times New Roman;Times;serif" w:hAnsi="Times New Roman;Times;serif"/>
          <w:sz w:val="22"/>
        </w:rPr>
        <w:t>.  The titles and headings in the Plan are for convenience of reference only and, if any conflict, the Plan’s text, rather than such titles or headings, will control.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10.16</w:t>
      </w:r>
      <w:r>
        <w:rPr>
          <w:rFonts w:ascii="Times New Roman;Times;serif" w:hAnsi="Times New Roman;Times;serif"/>
          <w:sz w:val="22"/>
          <w:u w:val="single"/>
        </w:rPr>
        <w:t>Conformity to Securities Laws</w:t>
      </w:r>
      <w:r>
        <w:rPr>
          <w:rFonts w:ascii="Times New Roman;Times;serif" w:hAnsi="Times New Roman;Times;serif"/>
          <w:sz w:val="22"/>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10.17</w:t>
      </w:r>
      <w:r>
        <w:rPr>
          <w:rFonts w:ascii="Times New Roman;Times;serif" w:hAnsi="Times New Roman;Times;serif"/>
          <w:sz w:val="22"/>
          <w:u w:val="single"/>
        </w:rPr>
        <w:t>Relationship to Other Benefits</w:t>
      </w:r>
      <w:r>
        <w:rPr>
          <w:rFonts w:ascii="Times New Roman;Times;serif" w:hAnsi="Times New Roman;Times;serif"/>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10.18</w:t>
      </w:r>
      <w:r>
        <w:rPr>
          <w:rFonts w:ascii="Times New Roman;Times;serif" w:hAnsi="Times New Roman;Times;serif"/>
          <w:sz w:val="22"/>
          <w:u w:val="single"/>
        </w:rPr>
        <w:t>Broker-Assisted Sales</w:t>
      </w:r>
      <w:r>
        <w:rPr>
          <w:rFonts w:ascii="Times New Roman;Times;serif" w:hAnsi="Times New Roman;Times;serif"/>
          <w:sz w:val="22"/>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XI.</w:t>
      </w:r>
    </w:p>
    <w:p>
      <w:pPr>
        <w:pStyle w:val="TextBody"/>
        <w:bidi w:val="0"/>
        <w:spacing w:before="0" w:after="200"/>
        <w:ind w:left="0" w:right="0" w:hanging="0"/>
        <w:jc w:val="center"/>
        <w:rPr>
          <w:rFonts w:ascii="Times New Roman;Times;serif" w:hAnsi="Times New Roman;Times;serif"/>
          <w:b/>
          <w:caps/>
          <w:sz w:val="22"/>
        </w:rPr>
      </w:pPr>
      <w:r>
        <w:rPr>
          <w:rFonts w:ascii="Times New Roman;Times;serif" w:hAnsi="Times New Roman;Times;serif"/>
          <w:b/>
          <w:caps/>
          <w:sz w:val="22"/>
        </w:rPr>
        <w:t>Definitions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As used in the Plan, the following words and phrases will have the following meanings: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w:t>
      </w:r>
      <w:r>
        <w:rPr>
          <w:rFonts w:ascii="Times New Roman;Times;serif" w:hAnsi="Times New Roman;Times;serif"/>
          <w:sz w:val="20"/>
        </w:rPr>
        <w:t>“</w:t>
      </w:r>
      <w:r>
        <w:rPr>
          <w:rFonts w:ascii="Times New Roman;Times;serif" w:hAnsi="Times New Roman;Times;serif"/>
          <w:b/>
          <w:i/>
          <w:sz w:val="22"/>
        </w:rPr>
        <w:t>Administrator</w:t>
      </w:r>
      <w:r>
        <w:rPr>
          <w:rFonts w:ascii="Times New Roman;Times;serif" w:hAnsi="Times New Roman;Times;serif"/>
          <w:sz w:val="20"/>
        </w:rPr>
        <w:t xml:space="preserve">” </w:t>
      </w:r>
      <w:r>
        <w:rPr>
          <w:rFonts w:ascii="Times New Roman;Times;serif" w:hAnsi="Times New Roman;Times;serif"/>
          <w:sz w:val="22"/>
        </w:rPr>
        <w:t>means the Board or a Committee to the extent that the Board’s powers or authority under the Plan have been delegated to such Committee.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w:t>
      </w:r>
      <w:r>
        <w:rPr>
          <w:rFonts w:ascii="Times New Roman;Times;serif" w:hAnsi="Times New Roman;Times;serif"/>
          <w:sz w:val="20"/>
        </w:rPr>
        <w:t>“</w:t>
      </w:r>
      <w:r>
        <w:rPr>
          <w:rFonts w:ascii="Times New Roman;Times;serif" w:hAnsi="Times New Roman;Times;serif"/>
          <w:b/>
          <w:i/>
          <w:sz w:val="22"/>
        </w:rPr>
        <w:t>Applicable Laws</w:t>
      </w:r>
      <w:r>
        <w:rPr>
          <w:rFonts w:ascii="Times New Roman;Times;serif" w:hAnsi="Times New Roman;Times;serif"/>
          <w:sz w:val="20"/>
        </w:rPr>
        <w:t xml:space="preserve">” </w:t>
      </w:r>
      <w:r>
        <w:rPr>
          <w:rFonts w:ascii="Times New Roman;Times;serif" w:hAnsi="Times New Roman;Times;serif"/>
          <w:sz w:val="22"/>
        </w:rPr>
        <w:t>means the requirements relating to the administration of equity incentive plans under Cayman Islands and U.S. federal and state securities, tax and other applicable laws, rules and regulations, the applicable rules of any stock exchange or quotation system on which the Ordinary Shares are listed or quoted and the applicable laws and rules of any other country or jurisdiction where Awards are granted or governed.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w:t>
      </w:r>
      <w:r>
        <w:rPr>
          <w:rFonts w:ascii="Times New Roman;Times;serif" w:hAnsi="Times New Roman;Times;serif"/>
          <w:sz w:val="20"/>
        </w:rPr>
        <w:t>“</w:t>
      </w:r>
      <w:r>
        <w:rPr>
          <w:rFonts w:ascii="Times New Roman;Times;serif" w:hAnsi="Times New Roman;Times;serif"/>
          <w:b/>
          <w:i/>
          <w:sz w:val="22"/>
        </w:rPr>
        <w:t>Award</w:t>
      </w:r>
      <w:r>
        <w:rPr>
          <w:rFonts w:ascii="Times New Roman;Times;serif" w:hAnsi="Times New Roman;Times;serif"/>
          <w:sz w:val="20"/>
        </w:rPr>
        <w:t xml:space="preserve">” </w:t>
      </w:r>
      <w:r>
        <w:rPr>
          <w:rFonts w:ascii="Times New Roman;Times;serif" w:hAnsi="Times New Roman;Times;serif"/>
          <w:sz w:val="22"/>
        </w:rPr>
        <w:t>means, individually or collectively, a grant under the Plan of Options, Share Appreciation Rights, Restricted Shares, Restricted Share Units or Other Share or Cash Based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11.4</w:t>
      </w:r>
      <w:r>
        <w:rPr>
          <w:rFonts w:ascii="Times New Roman;Times;serif" w:hAnsi="Times New Roman;Times;serif"/>
          <w:sz w:val="20"/>
        </w:rPr>
        <w:t>“</w:t>
      </w:r>
      <w:r>
        <w:rPr>
          <w:rFonts w:ascii="Times New Roman;Times;serif" w:hAnsi="Times New Roman;Times;serif"/>
          <w:b/>
          <w:i/>
          <w:sz w:val="22"/>
        </w:rPr>
        <w:t>Award Agreement</w:t>
      </w:r>
      <w:r>
        <w:rPr>
          <w:rFonts w:ascii="Times New Roman;Times;serif" w:hAnsi="Times New Roman;Times;serif"/>
          <w:sz w:val="20"/>
        </w:rPr>
        <w:t xml:space="preserve">” </w:t>
      </w:r>
      <w:r>
        <w:rPr>
          <w:rFonts w:ascii="Times New Roman;Times;serif" w:hAnsi="Times New Roman;Times;serif"/>
          <w:sz w:val="22"/>
        </w:rPr>
        <w:t>means a written agreement evidencing an Award, which may be electronic, that contains such terms and conditions as the Administrator determines, consistent with and subject to the terms and conditions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11.5</w:t>
      </w:r>
      <w:r>
        <w:rPr>
          <w:rFonts w:ascii="Times New Roman;Times;serif" w:hAnsi="Times New Roman;Times;serif"/>
          <w:sz w:val="20"/>
        </w:rPr>
        <w:t>“</w:t>
      </w:r>
      <w:r>
        <w:rPr>
          <w:rFonts w:ascii="Times New Roman;Times;serif" w:hAnsi="Times New Roman;Times;serif"/>
          <w:b/>
          <w:i/>
          <w:sz w:val="22"/>
        </w:rPr>
        <w:t>Board</w:t>
      </w:r>
      <w:r>
        <w:rPr>
          <w:rFonts w:ascii="Times New Roman;Times;serif" w:hAnsi="Times New Roman;Times;serif"/>
          <w:sz w:val="20"/>
        </w:rPr>
        <w:t xml:space="preserve">” </w:t>
      </w:r>
      <w:r>
        <w:rPr>
          <w:rFonts w:ascii="Times New Roman;Times;serif" w:hAnsi="Times New Roman;Times;serif"/>
          <w:sz w:val="22"/>
        </w:rPr>
        <w:t>means the Board of Directors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11.6</w:t>
      </w:r>
      <w:r>
        <w:rPr>
          <w:rFonts w:ascii="Times New Roman;Times;serif" w:hAnsi="Times New Roman;Times;serif"/>
          <w:sz w:val="20"/>
        </w:rPr>
        <w:t>“</w:t>
      </w:r>
      <w:r>
        <w:rPr>
          <w:rFonts w:ascii="Times New Roman;Times;serif" w:hAnsi="Times New Roman;Times;serif"/>
          <w:b/>
          <w:i/>
          <w:sz w:val="22"/>
        </w:rPr>
        <w:t>Cause</w:t>
      </w:r>
      <w:r>
        <w:rPr>
          <w:rFonts w:ascii="Times New Roman;Times;serif" w:hAnsi="Times New Roman;Times;serif"/>
          <w:sz w:val="20"/>
        </w:rPr>
        <w:t xml:space="preserve">” </w:t>
      </w:r>
      <w:r>
        <w:rPr>
          <w:rFonts w:ascii="Times New Roman;Times;serif" w:hAnsi="Times New Roman;Times;serif"/>
          <w:sz w:val="22"/>
        </w:rPr>
        <w:t>means (i) if a Participant is a party to a written employment or consulting agreement with the Company or any of its Subsidiaries or an Award Agreement in which the term “cause” is defined (a “</w:t>
      </w:r>
      <w:r>
        <w:rPr>
          <w:rFonts w:ascii="Times New Roman;Times;serif" w:hAnsi="Times New Roman;Times;serif"/>
          <w:b/>
          <w:i/>
          <w:sz w:val="22"/>
        </w:rPr>
        <w:t>Relevant Agreement</w:t>
      </w:r>
      <w:r>
        <w:rPr>
          <w:rFonts w:ascii="Times New Roman;Times;serif" w:hAnsi="Times New Roman;Times;serif"/>
          <w:sz w:val="20"/>
        </w:rPr>
        <w:t>”</w:t>
      </w:r>
      <w:r>
        <w:rPr>
          <w:rFonts w:ascii="Times New Roman;Times;serif" w:hAnsi="Times New Roman;Times;serif"/>
          <w:sz w:val="22"/>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11.7</w:t>
      </w:r>
      <w:r>
        <w:rPr>
          <w:rFonts w:ascii="Times New Roman;Times;serif" w:hAnsi="Times New Roman;Times;serif"/>
          <w:sz w:val="20"/>
        </w:rPr>
        <w:t>“</w:t>
      </w:r>
      <w:r>
        <w:rPr>
          <w:rFonts w:ascii="Times New Roman;Times;serif" w:hAnsi="Times New Roman;Times;serif"/>
          <w:b/>
          <w:i/>
          <w:sz w:val="22"/>
        </w:rPr>
        <w:t>Change in Control</w:t>
      </w:r>
      <w:r>
        <w:rPr>
          <w:rFonts w:ascii="Times New Roman;Times;serif" w:hAnsi="Times New Roman;Times;serif"/>
          <w:sz w:val="20"/>
        </w:rPr>
        <w:t xml:space="preserve">” </w:t>
      </w:r>
      <w:r>
        <w:rPr>
          <w:rFonts w:ascii="Times New Roman;Times;serif" w:hAnsi="Times New Roman;Times;serif"/>
          <w:sz w:val="22"/>
        </w:rPr>
        <w:t>means and includes each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 transaction or series of transactions (other than an offering of Ordinary Shares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shareholders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Times;serif" w:hAnsi="Times New Roman;Times;serif"/>
          <w:b/>
          <w:i/>
          <w:sz w:val="22"/>
        </w:rPr>
        <w:t>Successor Entity</w:t>
      </w:r>
      <w:r>
        <w:rPr>
          <w:rFonts w:ascii="Times New Roman;Times;serif" w:hAnsi="Times New Roman;Times;serif"/>
          <w:sz w:val="20"/>
        </w:rPr>
        <w:t>”</w:t>
      </w:r>
      <w:r>
        <w:rPr>
          <w:rFonts w:ascii="Times New Roman;Times;serif" w:hAnsi="Times New Roman;Times;serif"/>
          <w:sz w:val="22"/>
        </w:rPr>
        <w:t>)) directly or indirectly, at least a majority of the combined voting power of the Successor Entity’s outstanding voting securities immediately after the transaction,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(ii)after which no person or group beneficially owns voting securities representing 50% or more of the combined voting power of the Successor Entity;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11.8</w:t>
      </w:r>
      <w:r>
        <w:rPr>
          <w:rFonts w:ascii="Times New Roman;Times;serif" w:hAnsi="Times New Roman;Times;serif"/>
          <w:sz w:val="20"/>
        </w:rPr>
        <w:t>“</w:t>
      </w:r>
      <w:r>
        <w:rPr>
          <w:rFonts w:ascii="Times New Roman;Times;serif" w:hAnsi="Times New Roman;Times;serif"/>
          <w:b/>
          <w:i/>
          <w:sz w:val="22"/>
        </w:rPr>
        <w:t>Code</w:t>
      </w:r>
      <w:r>
        <w:rPr>
          <w:rFonts w:ascii="Times New Roman;Times;serif" w:hAnsi="Times New Roman;Times;serif"/>
          <w:sz w:val="20"/>
        </w:rPr>
        <w:t xml:space="preserve">” </w:t>
      </w:r>
      <w:r>
        <w:rPr>
          <w:rFonts w:ascii="Times New Roman;Times;serif" w:hAnsi="Times New Roman;Times;serif"/>
          <w:sz w:val="22"/>
        </w:rPr>
        <w:t>means the Internal Revenue Code of 1986, as amended, and the regulations issued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11.9</w:t>
      </w:r>
      <w:r>
        <w:rPr>
          <w:rFonts w:ascii="Times New Roman;Times;serif" w:hAnsi="Times New Roman;Times;serif"/>
          <w:sz w:val="20"/>
        </w:rPr>
        <w:t>“</w:t>
      </w:r>
      <w:r>
        <w:rPr>
          <w:rFonts w:ascii="Times New Roman;Times;serif" w:hAnsi="Times New Roman;Times;serif"/>
          <w:b/>
          <w:i/>
          <w:sz w:val="22"/>
        </w:rPr>
        <w:t>Committee</w:t>
      </w:r>
      <w:r>
        <w:rPr>
          <w:rFonts w:ascii="Times New Roman;Times;serif" w:hAnsi="Times New Roman;Times;serif"/>
          <w:sz w:val="20"/>
        </w:rPr>
        <w:t xml:space="preserve">” </w:t>
      </w:r>
      <w:r>
        <w:rPr>
          <w:rFonts w:ascii="Times New Roman;Times;serif" w:hAnsi="Times New Roman;Times;serif"/>
          <w:sz w:val="22"/>
        </w:rPr>
        <w:t>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11.10</w:t>
      </w:r>
      <w:r>
        <w:rPr>
          <w:rFonts w:ascii="Times New Roman;Times;serif" w:hAnsi="Times New Roman;Times;serif"/>
          <w:sz w:val="20"/>
        </w:rPr>
        <w:t>“</w:t>
      </w:r>
      <w:r>
        <w:rPr>
          <w:rFonts w:ascii="Times New Roman;Times;serif" w:hAnsi="Times New Roman;Times;serif"/>
          <w:b/>
          <w:i/>
          <w:sz w:val="22"/>
        </w:rPr>
        <w:t>Company</w:t>
      </w:r>
      <w:r>
        <w:rPr>
          <w:rFonts w:ascii="Times New Roman;Times;serif" w:hAnsi="Times New Roman;Times;serif"/>
          <w:sz w:val="20"/>
        </w:rPr>
        <w:t xml:space="preserve">” </w:t>
      </w:r>
      <w:r>
        <w:rPr>
          <w:rFonts w:ascii="Times New Roman;Times;serif" w:hAnsi="Times New Roman;Times;serif"/>
          <w:sz w:val="22"/>
        </w:rPr>
        <w:t>means MeiraGTx Holdings plc, an exempted company limited by shares incorporated under the laws of the Cayman Islands, or any successor.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11.11</w:t>
      </w:r>
      <w:r>
        <w:rPr>
          <w:rFonts w:ascii="Times New Roman;Times;serif" w:hAnsi="Times New Roman;Times;serif"/>
          <w:sz w:val="20"/>
        </w:rPr>
        <w:t xml:space="preserve"> “</w:t>
      </w:r>
      <w:r>
        <w:rPr>
          <w:rFonts w:ascii="Times New Roman;Times;serif" w:hAnsi="Times New Roman;Times;serif"/>
          <w:b/>
          <w:i/>
          <w:sz w:val="22"/>
        </w:rPr>
        <w:t>Consultant</w:t>
      </w:r>
      <w:r>
        <w:rPr>
          <w:rFonts w:ascii="Times New Roman;Times;serif" w:hAnsi="Times New Roman;Times;serif"/>
          <w:sz w:val="20"/>
        </w:rPr>
        <w:t xml:space="preserve">” </w:t>
      </w:r>
      <w:r>
        <w:rPr>
          <w:rFonts w:ascii="Times New Roman;Times;serif" w:hAnsi="Times New Roman;Times;serif"/>
          <w:sz w:val="22"/>
        </w:rPr>
        <w:t>means any person, including any adviser, engaged by the Company or its parent or Subsidiary to render services to such entity if the consultant or adviser: (i) renders bona fide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services to the Company; (ii) renders services not in connection with the offer or sale of securities in a capital-raising transaction and does not directly or indirectly promote or maintain a market for the Company’s securities; and (iii) is a natural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11.12</w:t>
      </w:r>
      <w:r>
        <w:rPr>
          <w:rFonts w:ascii="Times New Roman;Times;serif" w:hAnsi="Times New Roman;Times;serif"/>
          <w:sz w:val="20"/>
        </w:rPr>
        <w:t>“</w:t>
      </w:r>
      <w:r>
        <w:rPr>
          <w:rFonts w:ascii="Times New Roman;Times;serif" w:hAnsi="Times New Roman;Times;serif"/>
          <w:b/>
          <w:i/>
          <w:sz w:val="22"/>
        </w:rPr>
        <w:t>Designated Beneficiary</w:t>
      </w:r>
      <w:r>
        <w:rPr>
          <w:rFonts w:ascii="Times New Roman;Times;serif" w:hAnsi="Times New Roman;Times;serif"/>
          <w:sz w:val="20"/>
        </w:rPr>
        <w:t xml:space="preserve">” </w:t>
      </w:r>
      <w:r>
        <w:rPr>
          <w:rFonts w:ascii="Times New Roman;Times;serif" w:hAnsi="Times New Roman;Times;serif"/>
          <w:sz w:val="22"/>
        </w:rPr>
        <w:t>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11.13</w:t>
      </w:r>
      <w:r>
        <w:rPr>
          <w:rFonts w:ascii="Times New Roman;Times;serif" w:hAnsi="Times New Roman;Times;serif"/>
          <w:sz w:val="20"/>
        </w:rPr>
        <w:t>“</w:t>
      </w:r>
      <w:r>
        <w:rPr>
          <w:rFonts w:ascii="Times New Roman;Times;serif" w:hAnsi="Times New Roman;Times;serif"/>
          <w:b/>
          <w:i/>
          <w:sz w:val="22"/>
        </w:rPr>
        <w:t>Director</w:t>
      </w:r>
      <w:r>
        <w:rPr>
          <w:rFonts w:ascii="Times New Roman;Times;serif" w:hAnsi="Times New Roman;Times;serif"/>
          <w:sz w:val="20"/>
        </w:rPr>
        <w:t xml:space="preserve">” </w:t>
      </w:r>
      <w:r>
        <w:rPr>
          <w:rFonts w:ascii="Times New Roman;Times;serif" w:hAnsi="Times New Roman;Times;serif"/>
          <w:sz w:val="22"/>
        </w:rPr>
        <w:t>means a Board member.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11.14</w:t>
      </w:r>
      <w:r>
        <w:rPr>
          <w:rFonts w:ascii="Times New Roman;Times;serif" w:hAnsi="Times New Roman;Times;serif"/>
          <w:sz w:val="20"/>
        </w:rPr>
        <w:t>“</w:t>
      </w:r>
      <w:r>
        <w:rPr>
          <w:rFonts w:ascii="Times New Roman;Times;serif" w:hAnsi="Times New Roman;Times;serif"/>
          <w:b/>
          <w:i/>
          <w:sz w:val="22"/>
        </w:rPr>
        <w:t>Disability</w:t>
      </w:r>
      <w:r>
        <w:rPr>
          <w:rFonts w:ascii="Times New Roman;Times;serif" w:hAnsi="Times New Roman;Times;serif"/>
          <w:sz w:val="20"/>
        </w:rPr>
        <w:t xml:space="preserve">” </w:t>
      </w:r>
      <w:r>
        <w:rPr>
          <w:rFonts w:ascii="Times New Roman;Times;serif" w:hAnsi="Times New Roman;Times;serif"/>
          <w:sz w:val="22"/>
        </w:rPr>
        <w:t>means a permanent and total disability under Section 22(e)(3) of the Code,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11.15</w:t>
      </w:r>
      <w:r>
        <w:rPr>
          <w:rFonts w:ascii="Times New Roman;Times;serif" w:hAnsi="Times New Roman;Times;serif"/>
          <w:sz w:val="20"/>
        </w:rPr>
        <w:t>“</w:t>
      </w:r>
      <w:r>
        <w:rPr>
          <w:rFonts w:ascii="Times New Roman;Times;serif" w:hAnsi="Times New Roman;Times;serif"/>
          <w:b/>
          <w:i/>
          <w:sz w:val="22"/>
        </w:rPr>
        <w:t>Dividend Equivalents</w:t>
      </w:r>
      <w:r>
        <w:rPr>
          <w:rFonts w:ascii="Times New Roman;Times;serif" w:hAnsi="Times New Roman;Times;serif"/>
          <w:sz w:val="20"/>
        </w:rPr>
        <w:t xml:space="preserve">” </w:t>
      </w:r>
      <w:r>
        <w:rPr>
          <w:rFonts w:ascii="Times New Roman;Times;serif" w:hAnsi="Times New Roman;Times;serif"/>
          <w:sz w:val="22"/>
        </w:rPr>
        <w:t>means a right granted to a Participant under the Plan to receive the equivalent value (in cash or Shares) of dividends paid on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11.16</w:t>
      </w:r>
      <w:r>
        <w:rPr>
          <w:rFonts w:ascii="Times New Roman;Times;serif" w:hAnsi="Times New Roman;Times;serif"/>
          <w:sz w:val="20"/>
        </w:rPr>
        <w:t>“</w:t>
      </w:r>
      <w:r>
        <w:rPr>
          <w:rFonts w:ascii="Times New Roman;Times;serif" w:hAnsi="Times New Roman;Times;serif"/>
          <w:b/>
          <w:i/>
          <w:sz w:val="22"/>
        </w:rPr>
        <w:t>Eligible Individual</w:t>
      </w:r>
      <w:r>
        <w:rPr>
          <w:rFonts w:ascii="Times New Roman;Times;serif" w:hAnsi="Times New Roman;Times;serif"/>
          <w:sz w:val="20"/>
        </w:rPr>
        <w:t xml:space="preserve">” </w:t>
      </w:r>
      <w:r>
        <w:rPr>
          <w:rFonts w:ascii="Times New Roman;Times;serif" w:hAnsi="Times New Roman;Times;serif"/>
          <w:sz w:val="22"/>
        </w:rPr>
        <w:t>means any individual who (a) was not previously an Employee or Director and is hired as a new Employee or (b) is rehired as an Employee following a bona fide period of non-employment, in each case, if such person is granted an Award as a material inducement to his or her entering into employment with the Company or a Subsidiary (within the meaning of the NASDAQ Rule 5635(c)(4)).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11.17</w:t>
      </w:r>
      <w:r>
        <w:rPr>
          <w:rFonts w:ascii="Times New Roman;Times;serif" w:hAnsi="Times New Roman;Times;serif"/>
          <w:sz w:val="20"/>
        </w:rPr>
        <w:t>“</w:t>
      </w:r>
      <w:r>
        <w:rPr>
          <w:rFonts w:ascii="Times New Roman;Times;serif" w:hAnsi="Times New Roman;Times;serif"/>
          <w:b/>
          <w:i/>
          <w:sz w:val="22"/>
        </w:rPr>
        <w:t>Employee</w:t>
      </w:r>
      <w:r>
        <w:rPr>
          <w:rFonts w:ascii="Times New Roman;Times;serif" w:hAnsi="Times New Roman;Times;serif"/>
          <w:sz w:val="20"/>
        </w:rPr>
        <w:t xml:space="preserve">” </w:t>
      </w:r>
      <w:r>
        <w:rPr>
          <w:rFonts w:ascii="Times New Roman;Times;serif" w:hAnsi="Times New Roman;Times;serif"/>
          <w:sz w:val="22"/>
        </w:rPr>
        <w:t>means any employee of the Company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11.18</w:t>
      </w:r>
      <w:r>
        <w:rPr>
          <w:rFonts w:ascii="Times New Roman;Times;serif" w:hAnsi="Times New Roman;Times;serif"/>
          <w:sz w:val="20"/>
        </w:rPr>
        <w:t>“</w:t>
      </w:r>
      <w:r>
        <w:rPr>
          <w:rFonts w:ascii="Times New Roman;Times;serif" w:hAnsi="Times New Roman;Times;serif"/>
          <w:b/>
          <w:i/>
          <w:sz w:val="22"/>
        </w:rPr>
        <w:t>Equity Restructuring</w:t>
      </w:r>
      <w:r>
        <w:rPr>
          <w:rFonts w:ascii="Times New Roman;Times;serif" w:hAnsi="Times New Roman;Times;serif"/>
          <w:sz w:val="20"/>
        </w:rPr>
        <w:t xml:space="preserve">” </w:t>
      </w:r>
      <w:r>
        <w:rPr>
          <w:rFonts w:ascii="Times New Roman;Times;serif" w:hAnsi="Times New Roman;Times;serif"/>
          <w:sz w:val="22"/>
        </w:rPr>
        <w:t>means a nonreciprocal transaction between the Company and its shareholders, such as a share dividend, share split, share consolidation, spin-off or recapitalization through a large, nonrecurring cash dividend, that affects the number or kind of Shares (or other Company securities) or the share price of Ordinary Shares (or other Company securities) and causes a change in the per share value of the Ordinary Shares underlying outstanding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11.19</w:t>
      </w:r>
      <w:r>
        <w:rPr>
          <w:rFonts w:ascii="Times New Roman;Times;serif" w:hAnsi="Times New Roman;Times;serif"/>
          <w:sz w:val="20"/>
        </w:rPr>
        <w:t>“</w:t>
      </w:r>
      <w:r>
        <w:rPr>
          <w:rFonts w:ascii="Times New Roman;Times;serif" w:hAnsi="Times New Roman;Times;serif"/>
          <w:b/>
          <w:i/>
          <w:sz w:val="22"/>
        </w:rPr>
        <w:t>Exchange Act</w:t>
      </w:r>
      <w:r>
        <w:rPr>
          <w:rFonts w:ascii="Times New Roman;Times;serif" w:hAnsi="Times New Roman;Times;serif"/>
          <w:sz w:val="20"/>
        </w:rPr>
        <w:t xml:space="preserve">” </w:t>
      </w:r>
      <w:r>
        <w:rPr>
          <w:rFonts w:ascii="Times New Roman;Times;serif" w:hAnsi="Times New Roman;Times;serif"/>
          <w:sz w:val="22"/>
        </w:rPr>
        <w:t>means the Securities Exchange Act of 1934,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11.20</w:t>
      </w:r>
      <w:r>
        <w:rPr>
          <w:rFonts w:ascii="Times New Roman;Times;serif" w:hAnsi="Times New Roman;Times;serif"/>
          <w:sz w:val="20"/>
        </w:rPr>
        <w:t>“</w:t>
      </w:r>
      <w:r>
        <w:rPr>
          <w:rFonts w:ascii="Times New Roman;Times;serif" w:hAnsi="Times New Roman;Times;serif"/>
          <w:b/>
          <w:i/>
          <w:sz w:val="22"/>
        </w:rPr>
        <w:t>Fair Market Value</w:t>
      </w:r>
      <w:r>
        <w:rPr>
          <w:rFonts w:ascii="Times New Roman;Times;serif" w:hAnsi="Times New Roman;Times;serif"/>
          <w:sz w:val="20"/>
        </w:rPr>
        <w:t xml:space="preserve">” </w:t>
      </w:r>
      <w:r>
        <w:rPr>
          <w:rFonts w:ascii="Times New Roman;Times;serif" w:hAnsi="Times New Roman;Times;serif"/>
          <w:sz w:val="22"/>
        </w:rPr>
        <w:t>means, as of any date, the value of Ordinary Shares determined as follows: (i) if the Ordinary Shares are listed on any established stock exchange, its Fair Market Value will be the closing sales price for such Ordinary Shares as quoted on such exchange for such date, or if no sale occurred on such date, the last day preceding such date during which a sale occurred, as reported in The Wall Street Journal or another source the Administrator deems reliable; (ii) if the Ordinary Shares are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Ordinary Shares, the Administrator will determine the Fair Market Value in its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11.21</w:t>
      </w:r>
      <w:r>
        <w:rPr>
          <w:rFonts w:ascii="Times New Roman;Times;serif" w:hAnsi="Times New Roman;Times;serif"/>
          <w:sz w:val="20"/>
        </w:rPr>
        <w:t>“</w:t>
      </w:r>
      <w:r>
        <w:rPr>
          <w:rFonts w:ascii="Times New Roman;Times;serif" w:hAnsi="Times New Roman;Times;serif"/>
          <w:b/>
          <w:i/>
          <w:sz w:val="22"/>
        </w:rPr>
        <w:t>Incentive Stock Option</w:t>
      </w:r>
      <w:r>
        <w:rPr>
          <w:rFonts w:ascii="Times New Roman;Times;serif" w:hAnsi="Times New Roman;Times;serif"/>
          <w:sz w:val="20"/>
        </w:rPr>
        <w:t xml:space="preserve">” </w:t>
      </w:r>
      <w:r>
        <w:rPr>
          <w:rFonts w:ascii="Times New Roman;Times;serif" w:hAnsi="Times New Roman;Times;serif"/>
          <w:sz w:val="22"/>
        </w:rPr>
        <w:t>means an Option intended to qualify as an “incentive stock option” as defined in Section 422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11.22</w:t>
      </w:r>
      <w:r>
        <w:rPr>
          <w:rFonts w:ascii="Times New Roman;Times;serif" w:hAnsi="Times New Roman;Times;serif"/>
          <w:sz w:val="20"/>
        </w:rPr>
        <w:t>“</w:t>
      </w:r>
      <w:r>
        <w:rPr>
          <w:rFonts w:ascii="Times New Roman;Times;serif" w:hAnsi="Times New Roman;Times;serif"/>
          <w:b/>
          <w:i/>
          <w:sz w:val="22"/>
        </w:rPr>
        <w:t>Independent Director</w:t>
      </w:r>
      <w:r>
        <w:rPr>
          <w:rFonts w:ascii="Times New Roman;Times;serif" w:hAnsi="Times New Roman;Times;serif"/>
          <w:sz w:val="20"/>
        </w:rPr>
        <w:t xml:space="preserve">” </w:t>
      </w:r>
      <w:r>
        <w:rPr>
          <w:rFonts w:ascii="Times New Roman;Times;serif" w:hAnsi="Times New Roman;Times;serif"/>
          <w:sz w:val="22"/>
        </w:rPr>
        <w:t>means a Director who qualifies as “independent” within the meaning of NASDAQ Rule 5635(c)(4), or any successor rule, as such rule may be amended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11.23</w:t>
      </w:r>
      <w:r>
        <w:rPr>
          <w:rFonts w:ascii="Times New Roman;Times;serif" w:hAnsi="Times New Roman;Times;serif"/>
          <w:sz w:val="20"/>
        </w:rPr>
        <w:t>“</w:t>
      </w:r>
      <w:r>
        <w:rPr>
          <w:rFonts w:ascii="Times New Roman;Times;serif" w:hAnsi="Times New Roman;Times;serif"/>
          <w:b/>
          <w:i/>
          <w:sz w:val="22"/>
        </w:rPr>
        <w:t>NASDAQ Rule 5635(c)(4)</w:t>
      </w:r>
      <w:r>
        <w:rPr>
          <w:rFonts w:ascii="Times New Roman;Times;serif" w:hAnsi="Times New Roman;Times;serif"/>
          <w:sz w:val="20"/>
        </w:rPr>
        <w:t xml:space="preserve">” </w:t>
      </w:r>
      <w:r>
        <w:rPr>
          <w:rFonts w:ascii="Times New Roman;Times;serif" w:hAnsi="Times New Roman;Times;serif"/>
          <w:sz w:val="22"/>
        </w:rPr>
        <w:t>means NASDAQ Rule 5635(c)(4), or any successor rule, and all guidance and other interpretative authority thereunder, as such rule, guidance and other authority may be amended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11.24</w:t>
      </w:r>
      <w:r>
        <w:rPr>
          <w:rFonts w:ascii="Times New Roman;Times;serif" w:hAnsi="Times New Roman;Times;serif"/>
          <w:sz w:val="20"/>
        </w:rPr>
        <w:t>“</w:t>
      </w:r>
      <w:r>
        <w:rPr>
          <w:rFonts w:ascii="Times New Roman;Times;serif" w:hAnsi="Times New Roman;Times;serif"/>
          <w:b/>
          <w:i/>
          <w:sz w:val="22"/>
        </w:rPr>
        <w:t>Non-Qualified Stock Option</w:t>
      </w:r>
      <w:r>
        <w:rPr>
          <w:rFonts w:ascii="Times New Roman;Times;serif" w:hAnsi="Times New Roman;Times;serif"/>
          <w:sz w:val="20"/>
        </w:rPr>
        <w:t xml:space="preserve">” </w:t>
      </w:r>
      <w:r>
        <w:rPr>
          <w:rFonts w:ascii="Times New Roman;Times;serif" w:hAnsi="Times New Roman;Times;serif"/>
          <w:sz w:val="22"/>
        </w:rPr>
        <w:t>means an Option not intended to qualify as an Incentive Stock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11.25</w:t>
      </w:r>
      <w:r>
        <w:rPr>
          <w:rFonts w:ascii="Times New Roman;Times;serif" w:hAnsi="Times New Roman;Times;serif"/>
          <w:sz w:val="20"/>
        </w:rPr>
        <w:t>“</w:t>
      </w:r>
      <w:r>
        <w:rPr>
          <w:rFonts w:ascii="Times New Roman;Times;serif" w:hAnsi="Times New Roman;Times;serif"/>
          <w:b/>
          <w:i/>
          <w:sz w:val="22"/>
        </w:rPr>
        <w:t>Option</w:t>
      </w:r>
      <w:r>
        <w:rPr>
          <w:rFonts w:ascii="Times New Roman;Times;serif" w:hAnsi="Times New Roman;Times;serif"/>
          <w:sz w:val="20"/>
        </w:rPr>
        <w:t xml:space="preserve">” </w:t>
      </w:r>
      <w:r>
        <w:rPr>
          <w:rFonts w:ascii="Times New Roman;Times;serif" w:hAnsi="Times New Roman;Times;serif"/>
          <w:sz w:val="22"/>
        </w:rPr>
        <w:t>means an option to purchase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11.26</w:t>
      </w:r>
      <w:r>
        <w:rPr>
          <w:rFonts w:ascii="Times New Roman;Times;serif" w:hAnsi="Times New Roman;Times;serif"/>
          <w:sz w:val="20"/>
        </w:rPr>
        <w:t>“</w:t>
      </w:r>
      <w:r>
        <w:rPr>
          <w:rFonts w:ascii="Times New Roman;Times;serif" w:hAnsi="Times New Roman;Times;serif"/>
          <w:b/>
          <w:i/>
          <w:sz w:val="22"/>
        </w:rPr>
        <w:t>Ordinary Shares</w:t>
      </w:r>
      <w:r>
        <w:rPr>
          <w:rFonts w:ascii="Times New Roman;Times;serif" w:hAnsi="Times New Roman;Times;serif"/>
          <w:sz w:val="20"/>
        </w:rPr>
        <w:t xml:space="preserve">” </w:t>
      </w:r>
      <w:r>
        <w:rPr>
          <w:rFonts w:ascii="Times New Roman;Times;serif" w:hAnsi="Times New Roman;Times;serif"/>
          <w:sz w:val="22"/>
        </w:rPr>
        <w:t>means the ordinary shares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11.27</w:t>
      </w:r>
      <w:r>
        <w:rPr>
          <w:rFonts w:ascii="Times New Roman;Times;serif" w:hAnsi="Times New Roman;Times;serif"/>
          <w:sz w:val="20"/>
        </w:rPr>
        <w:t>“</w:t>
      </w:r>
      <w:r>
        <w:rPr>
          <w:rFonts w:ascii="Times New Roman;Times;serif" w:hAnsi="Times New Roman;Times;serif"/>
          <w:b/>
          <w:i/>
          <w:sz w:val="22"/>
        </w:rPr>
        <w:t>Other Share or Cash Based Awards</w:t>
      </w:r>
      <w:r>
        <w:rPr>
          <w:rFonts w:ascii="Times New Roman;Times;serif" w:hAnsi="Times New Roman;Times;serif"/>
          <w:sz w:val="20"/>
        </w:rPr>
        <w:t xml:space="preserve">” </w:t>
      </w:r>
      <w:r>
        <w:rPr>
          <w:rFonts w:ascii="Times New Roman;Times;serif" w:hAnsi="Times New Roman;Times;serif"/>
          <w:sz w:val="22"/>
        </w:rPr>
        <w:t>means cash awards, awards of Shares, and other awards valued wholly or partially by referring to, or are otherwise based on, Shares or other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11.28</w:t>
      </w:r>
      <w:r>
        <w:rPr>
          <w:rFonts w:ascii="Times New Roman;Times;serif" w:hAnsi="Times New Roman;Times;serif"/>
          <w:sz w:val="20"/>
        </w:rPr>
        <w:t>“</w:t>
      </w:r>
      <w:r>
        <w:rPr>
          <w:rFonts w:ascii="Times New Roman;Times;serif" w:hAnsi="Times New Roman;Times;serif"/>
          <w:b/>
          <w:i/>
          <w:sz w:val="22"/>
        </w:rPr>
        <w:t>Overall Share Limit</w:t>
      </w:r>
      <w:r>
        <w:rPr>
          <w:rFonts w:ascii="Times New Roman;Times;serif" w:hAnsi="Times New Roman;Times;serif"/>
          <w:sz w:val="20"/>
        </w:rPr>
        <w:t xml:space="preserve">” </w:t>
      </w:r>
      <w:r>
        <w:rPr>
          <w:rFonts w:ascii="Times New Roman;Times;serif" w:hAnsi="Times New Roman;Times;serif"/>
          <w:sz w:val="22"/>
        </w:rPr>
        <w:t>means 1,000,000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11.29</w:t>
      </w:r>
      <w:r>
        <w:rPr>
          <w:rFonts w:ascii="Times New Roman;Times;serif" w:hAnsi="Times New Roman;Times;serif"/>
          <w:sz w:val="20"/>
        </w:rPr>
        <w:t xml:space="preserve"> “</w:t>
      </w:r>
      <w:r>
        <w:rPr>
          <w:rFonts w:ascii="Times New Roman;Times;serif" w:hAnsi="Times New Roman;Times;serif"/>
          <w:b/>
          <w:i/>
          <w:sz w:val="22"/>
        </w:rPr>
        <w:t>Participant</w:t>
      </w:r>
      <w:r>
        <w:rPr>
          <w:rFonts w:ascii="Times New Roman;Times;serif" w:hAnsi="Times New Roman;Times;serif"/>
          <w:sz w:val="20"/>
        </w:rPr>
        <w:t xml:space="preserve">” </w:t>
      </w:r>
      <w:r>
        <w:rPr>
          <w:rFonts w:ascii="Times New Roman;Times;serif" w:hAnsi="Times New Roman;Times;serif"/>
          <w:sz w:val="22"/>
        </w:rPr>
        <w:t>means an Eligible Individual who has been granted an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11.30</w:t>
      </w:r>
      <w:r>
        <w:rPr>
          <w:rFonts w:ascii="Times New Roman;Times;serif" w:hAnsi="Times New Roman;Times;serif"/>
          <w:sz w:val="20"/>
        </w:rPr>
        <w:t>“</w:t>
      </w:r>
      <w:r>
        <w:rPr>
          <w:rFonts w:ascii="Times New Roman;Times;serif" w:hAnsi="Times New Roman;Times;serif"/>
          <w:b/>
          <w:i/>
          <w:sz w:val="22"/>
        </w:rPr>
        <w:t>Performance Criteria</w:t>
      </w:r>
      <w:r>
        <w:rPr>
          <w:rFonts w:ascii="Times New Roman;Times;serif" w:hAnsi="Times New Roman;Times;serif"/>
          <w:sz w:val="20"/>
        </w:rPr>
        <w:t xml:space="preserve">” </w:t>
      </w:r>
      <w:r>
        <w:rPr>
          <w:rFonts w:ascii="Times New Roman;Times;serif" w:hAnsi="Times New Roman;Times;serif"/>
          <w:sz w:val="22"/>
        </w:rPr>
        <w:t>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other changes in the number of outstanding shares, (l) conversion of some or all of convertible securities to Ordinary Shares, (m) any business interruption event (n) the cumulative effects of tax or accounting changes in accordance with U.S. generally accepted accounting principles, or (o) the effect of changes in other laws or regulatory rules affecting reported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11.31</w:t>
      </w:r>
      <w:r>
        <w:rPr>
          <w:rFonts w:ascii="Times New Roman;Times;serif" w:hAnsi="Times New Roman;Times;serif"/>
          <w:sz w:val="20"/>
        </w:rPr>
        <w:t>“</w:t>
      </w:r>
      <w:r>
        <w:rPr>
          <w:rFonts w:ascii="Times New Roman;Times;serif" w:hAnsi="Times New Roman;Times;serif"/>
          <w:b/>
          <w:i/>
          <w:sz w:val="22"/>
        </w:rPr>
        <w:t>Plan</w:t>
      </w:r>
      <w:r>
        <w:rPr>
          <w:rFonts w:ascii="Times New Roman;Times;serif" w:hAnsi="Times New Roman;Times;serif"/>
          <w:sz w:val="20"/>
        </w:rPr>
        <w:t xml:space="preserve">” </w:t>
      </w:r>
      <w:r>
        <w:rPr>
          <w:rFonts w:ascii="Times New Roman;Times;serif" w:hAnsi="Times New Roman;Times;serif"/>
          <w:sz w:val="22"/>
        </w:rPr>
        <w:t>means this 2026 Employment Inducement Award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11.32</w:t>
      </w:r>
      <w:r>
        <w:rPr>
          <w:rFonts w:ascii="Times New Roman;Times;serif" w:hAnsi="Times New Roman;Times;serif"/>
          <w:sz w:val="20"/>
        </w:rPr>
        <w:t>“</w:t>
      </w:r>
      <w:r>
        <w:rPr>
          <w:rFonts w:ascii="Times New Roman;Times;serif" w:hAnsi="Times New Roman;Times;serif"/>
          <w:b/>
          <w:i/>
          <w:sz w:val="22"/>
        </w:rPr>
        <w:t>Restricted Shares</w:t>
      </w:r>
      <w:r>
        <w:rPr>
          <w:rFonts w:ascii="Times New Roman;Times;serif" w:hAnsi="Times New Roman;Times;serif"/>
          <w:sz w:val="20"/>
        </w:rPr>
        <w:t xml:space="preserve">” </w:t>
      </w:r>
      <w:r>
        <w:rPr>
          <w:rFonts w:ascii="Times New Roman;Times;serif" w:hAnsi="Times New Roman;Times;serif"/>
          <w:sz w:val="22"/>
        </w:rPr>
        <w:t>means Shares awarded to a Participant under Article VI subject to certain vesting conditions and other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11.33</w:t>
      </w:r>
      <w:r>
        <w:rPr>
          <w:rFonts w:ascii="Times New Roman;Times;serif" w:hAnsi="Times New Roman;Times;serif"/>
          <w:sz w:val="20"/>
        </w:rPr>
        <w:t>“</w:t>
      </w:r>
      <w:r>
        <w:rPr>
          <w:rFonts w:ascii="Times New Roman;Times;serif" w:hAnsi="Times New Roman;Times;serif"/>
          <w:b/>
          <w:i/>
          <w:sz w:val="22"/>
        </w:rPr>
        <w:t>Restricted Share Unit</w:t>
      </w:r>
      <w:r>
        <w:rPr>
          <w:rFonts w:ascii="Times New Roman;Times;serif" w:hAnsi="Times New Roman;Times;serif"/>
          <w:sz w:val="20"/>
        </w:rPr>
        <w:t xml:space="preserve">” </w:t>
      </w:r>
      <w:r>
        <w:rPr>
          <w:rFonts w:ascii="Times New Roman;Times;serif" w:hAnsi="Times New Roman;Times;serif"/>
          <w:sz w:val="22"/>
        </w:rPr>
        <w:t>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11.34</w:t>
      </w:r>
      <w:r>
        <w:rPr>
          <w:rFonts w:ascii="Times New Roman;Times;serif" w:hAnsi="Times New Roman;Times;serif"/>
          <w:sz w:val="20"/>
        </w:rPr>
        <w:t>“</w:t>
      </w:r>
      <w:r>
        <w:rPr>
          <w:rFonts w:ascii="Times New Roman;Times;serif" w:hAnsi="Times New Roman;Times;serif"/>
          <w:b/>
          <w:i/>
          <w:sz w:val="22"/>
        </w:rPr>
        <w:t>Rule 16b-3</w:t>
      </w:r>
      <w:r>
        <w:rPr>
          <w:rFonts w:ascii="Times New Roman;Times;serif" w:hAnsi="Times New Roman;Times;serif"/>
          <w:sz w:val="20"/>
        </w:rPr>
        <w:t xml:space="preserve">” </w:t>
      </w:r>
      <w:r>
        <w:rPr>
          <w:rFonts w:ascii="Times New Roman;Times;serif" w:hAnsi="Times New Roman;Times;serif"/>
          <w:sz w:val="22"/>
        </w:rPr>
        <w:t>means Rule 16b-3 promulgated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11.35</w:t>
      </w:r>
      <w:r>
        <w:rPr>
          <w:rFonts w:ascii="Times New Roman;Times;serif" w:hAnsi="Times New Roman;Times;serif"/>
          <w:sz w:val="20"/>
        </w:rPr>
        <w:t>“</w:t>
      </w:r>
      <w:r>
        <w:rPr>
          <w:rFonts w:ascii="Times New Roman;Times;serif" w:hAnsi="Times New Roman;Times;serif"/>
          <w:b/>
          <w:i/>
          <w:sz w:val="22"/>
        </w:rPr>
        <w:t>Section 409A</w:t>
      </w:r>
      <w:r>
        <w:rPr>
          <w:rFonts w:ascii="Times New Roman;Times;serif" w:hAnsi="Times New Roman;Times;serif"/>
          <w:sz w:val="20"/>
        </w:rPr>
        <w:t xml:space="preserve">” </w:t>
      </w:r>
      <w:r>
        <w:rPr>
          <w:rFonts w:ascii="Times New Roman;Times;serif" w:hAnsi="Times New Roman;Times;serif"/>
          <w:sz w:val="22"/>
        </w:rPr>
        <w:t>means Section 409A of the Code and all regulations, guidance, compliance programs and other interpretative authority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11.36</w:t>
      </w:r>
      <w:r>
        <w:rPr>
          <w:rFonts w:ascii="Times New Roman;Times;serif" w:hAnsi="Times New Roman;Times;serif"/>
          <w:sz w:val="20"/>
        </w:rPr>
        <w:t>“</w:t>
      </w:r>
      <w:r>
        <w:rPr>
          <w:rFonts w:ascii="Times New Roman;Times;serif" w:hAnsi="Times New Roman;Times;serif"/>
          <w:b/>
          <w:i/>
          <w:sz w:val="22"/>
        </w:rPr>
        <w:t>Securities Act</w:t>
      </w:r>
      <w:r>
        <w:rPr>
          <w:rFonts w:ascii="Times New Roman;Times;serif" w:hAnsi="Times New Roman;Times;serif"/>
          <w:sz w:val="20"/>
        </w:rPr>
        <w:t xml:space="preserve">” </w:t>
      </w:r>
      <w:r>
        <w:rPr>
          <w:rFonts w:ascii="Times New Roman;Times;serif" w:hAnsi="Times New Roman;Times;serif"/>
          <w:sz w:val="22"/>
        </w:rPr>
        <w:t>means the Securities Act of 1933,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11.37</w:t>
      </w:r>
      <w:r>
        <w:rPr>
          <w:rFonts w:ascii="Times New Roman;Times;serif" w:hAnsi="Times New Roman;Times;serif"/>
          <w:sz w:val="20"/>
        </w:rPr>
        <w:t>“</w:t>
      </w:r>
      <w:r>
        <w:rPr>
          <w:rFonts w:ascii="Times New Roman;Times;serif" w:hAnsi="Times New Roman;Times;serif"/>
          <w:b/>
          <w:i/>
          <w:sz w:val="22"/>
        </w:rPr>
        <w:t>Service Provider</w:t>
      </w:r>
      <w:r>
        <w:rPr>
          <w:rFonts w:ascii="Times New Roman;Times;serif" w:hAnsi="Times New Roman;Times;serif"/>
          <w:sz w:val="20"/>
        </w:rPr>
        <w:t xml:space="preserve">” </w:t>
      </w:r>
      <w:r>
        <w:rPr>
          <w:rFonts w:ascii="Times New Roman;Times;serif" w:hAnsi="Times New Roman;Times;serif"/>
          <w:sz w:val="22"/>
        </w:rPr>
        <w:t>means an Employee, Consultant or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11.38</w:t>
      </w:r>
      <w:r>
        <w:rPr>
          <w:rFonts w:ascii="Times New Roman;Times;serif" w:hAnsi="Times New Roman;Times;serif"/>
          <w:sz w:val="20"/>
        </w:rPr>
        <w:t>“</w:t>
      </w:r>
      <w:r>
        <w:rPr>
          <w:rFonts w:ascii="Times New Roman;Times;serif" w:hAnsi="Times New Roman;Times;serif"/>
          <w:b/>
          <w:i/>
          <w:sz w:val="22"/>
        </w:rPr>
        <w:t>Share</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i/>
          <w:sz w:val="22"/>
        </w:rPr>
        <w:t>Shares</w:t>
      </w:r>
      <w:r>
        <w:rPr>
          <w:rFonts w:ascii="Times New Roman;Times;serif" w:hAnsi="Times New Roman;Times;serif"/>
          <w:sz w:val="20"/>
        </w:rPr>
        <w:t xml:space="preserve">” </w:t>
      </w:r>
      <w:r>
        <w:rPr>
          <w:rFonts w:ascii="Times New Roman;Times;serif" w:hAnsi="Times New Roman;Times;serif"/>
          <w:sz w:val="22"/>
        </w:rPr>
        <w:t>means an Ordinary Share or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11.39</w:t>
      </w:r>
      <w:r>
        <w:rPr>
          <w:rFonts w:ascii="Times New Roman;Times;serif" w:hAnsi="Times New Roman;Times;serif"/>
          <w:sz w:val="20"/>
        </w:rPr>
        <w:t xml:space="preserve"> “</w:t>
      </w:r>
      <w:r>
        <w:rPr>
          <w:rFonts w:ascii="Times New Roman;Times;serif" w:hAnsi="Times New Roman;Times;serif"/>
          <w:b/>
          <w:i/>
          <w:sz w:val="22"/>
        </w:rPr>
        <w:t>Share Appreciation Right</w:t>
      </w:r>
      <w:r>
        <w:rPr>
          <w:rFonts w:ascii="Times New Roman;Times;serif" w:hAnsi="Times New Roman;Times;serif"/>
          <w:sz w:val="20"/>
        </w:rPr>
        <w:t xml:space="preserve">” </w:t>
      </w:r>
      <w:r>
        <w:rPr>
          <w:rFonts w:ascii="Times New Roman;Times;serif" w:hAnsi="Times New Roman;Times;serif"/>
          <w:sz w:val="22"/>
        </w:rPr>
        <w:t>means a share appreciation right granted under Article 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11.40</w:t>
      </w:r>
      <w:r>
        <w:rPr>
          <w:rFonts w:ascii="Times New Roman;Times;serif" w:hAnsi="Times New Roman;Times;serif"/>
          <w:sz w:val="20"/>
        </w:rPr>
        <w:t>“</w:t>
      </w:r>
      <w:r>
        <w:rPr>
          <w:rFonts w:ascii="Times New Roman;Times;serif" w:hAnsi="Times New Roman;Times;serif"/>
          <w:b/>
          <w:i/>
          <w:sz w:val="22"/>
        </w:rPr>
        <w:t>Subsidiary</w:t>
      </w:r>
      <w:r>
        <w:rPr>
          <w:rFonts w:ascii="Times New Roman;Times;serif" w:hAnsi="Times New Roman;Times;serif"/>
          <w:sz w:val="20"/>
        </w:rPr>
        <w:t xml:space="preserve">” </w:t>
      </w:r>
      <w:r>
        <w:rPr>
          <w:rFonts w:ascii="Times New Roman;Times;serif" w:hAnsi="Times New Roman;Times;serif"/>
          <w:sz w:val="22"/>
        </w:rPr>
        <w:t>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11.41</w:t>
      </w:r>
      <w:r>
        <w:rPr>
          <w:rFonts w:ascii="Times New Roman;Times;serif" w:hAnsi="Times New Roman;Times;serif"/>
          <w:sz w:val="20"/>
        </w:rPr>
        <w:t>“</w:t>
      </w:r>
      <w:r>
        <w:rPr>
          <w:rFonts w:ascii="Times New Roman;Times;serif" w:hAnsi="Times New Roman;Times;serif"/>
          <w:b/>
          <w:i/>
          <w:sz w:val="22"/>
        </w:rPr>
        <w:t>Termination of Service</w:t>
      </w:r>
      <w:r>
        <w:rPr>
          <w:rFonts w:ascii="Times New Roman;Times;serif" w:hAnsi="Times New Roman;Times;serif"/>
          <w:sz w:val="20"/>
        </w:rPr>
        <w:t xml:space="preserve">” </w:t>
      </w:r>
      <w:r>
        <w:rPr>
          <w:rFonts w:ascii="Times New Roman;Times;serif" w:hAnsi="Times New Roman;Times;serif"/>
          <w:sz w:val="22"/>
        </w:rPr>
        <w:t>means the date the Participant ceases to be a Service Provider.</w:t>
      </w:r>
    </w:p>
    <w:p>
      <w:pPr>
        <w:pStyle w:val="TextBody"/>
        <w:bidi w:val="0"/>
        <w:spacing w:before="0" w:after="240"/>
        <w:ind w:left="0" w:right="0" w:hanging="0"/>
        <w:jc w:val="center"/>
        <w:rPr>
          <w:rFonts w:ascii="Times New Roman;Times;serif" w:hAnsi="Times New Roman;Times;serif"/>
          <w:b/>
          <w:smallCaps/>
          <w:sz w:val="22"/>
        </w:rPr>
      </w:pPr>
      <w:r>
        <w:rPr>
          <w:rFonts w:ascii="Times New Roman;Times;serif" w:hAnsi="Times New Roman;Times;serif"/>
          <w:b/>
          <w:smallCaps/>
          <w:sz w:val="22"/>
        </w:rPr>
        <w:t>* * * *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11" w:name="mgtx-20260630xex10d14.htm"/>
      <w:bookmarkStart w:id="1612" w:name="ksmgtx20260630xex10d14"/>
      <w:bookmarkEnd w:id="1611"/>
      <w:bookmarkEnd w:id="1612"/>
      <w:r>
        <w:rPr>
          <w:rFonts w:ascii="Times New Roman;Times;serif" w:hAnsi="Times New Roman;Times;serif"/>
          <w:b/>
          <w:sz w:val="20"/>
        </w:rPr>
        <w:t>Exhibit 10.14</w:t>
      </w:r>
      <w:r>
        <w:br w:type="page"/>
      </w:r>
    </w:p>
    <w:tbl>
      <w:tblPr>
        <w:tblW w:w="4801" w:type="dxa"/>
        <w:jc w:val="center"/>
        <w:tblInd w:w="0" w:type="dxa"/>
        <w:tblLayout w:type="fixed"/>
        <w:tblCellMar>
          <w:top w:w="28" w:type="dxa"/>
          <w:left w:w="28" w:type="dxa"/>
          <w:bottom w:w="28" w:type="dxa"/>
          <w:right w:w="28" w:type="dxa"/>
        </w:tblCellMar>
      </w:tblPr>
      <w:tblGrid>
        <w:gridCol w:w="4801"/>
      </w:tblGrid>
      <w:tr>
        <w:trPr/>
        <w:tc>
          <w:tcPr>
            <w:tcW w:w="4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MEIRAGTX HOLDINGS PLC</w:t>
            </w:r>
          </w:p>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2026 EMPLOYMENT INDUCEMENT AWARD PLAN</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OPTION GRANT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Capitalized terms not specifically defined in this Option Grant Notice (the “</w:t>
      </w:r>
      <w:r>
        <w:rPr>
          <w:rFonts w:ascii="Times New Roman;Times;serif" w:hAnsi="Times New Roman;Times;serif"/>
          <w:b/>
          <w:i/>
          <w:sz w:val="20"/>
        </w:rPr>
        <w:t>Grant Notice</w:t>
      </w:r>
      <w:r>
        <w:rPr>
          <w:rFonts w:ascii="Times New Roman;Times;serif" w:hAnsi="Times New Roman;Times;serif"/>
          <w:sz w:val="20"/>
        </w:rPr>
        <w:t>”) have the meanings given to them in the 2026 Employment Inducement Award Plan (as amended from time to time, the “</w:t>
      </w:r>
      <w:r>
        <w:rPr>
          <w:rFonts w:ascii="Times New Roman;Times;serif" w:hAnsi="Times New Roman;Times;serif"/>
          <w:b/>
          <w:i/>
          <w:sz w:val="20"/>
        </w:rPr>
        <w:t>Plan</w:t>
      </w:r>
      <w:r>
        <w:rPr>
          <w:rFonts w:ascii="Times New Roman;Times;serif" w:hAnsi="Times New Roman;Times;serif"/>
          <w:sz w:val="20"/>
        </w:rPr>
        <w:t>”) of MeiraGTx Holdings plc (the “</w:t>
      </w:r>
      <w:r>
        <w:rPr>
          <w:rFonts w:ascii="Times New Roman;Times;serif" w:hAnsi="Times New Roman;Times;serif"/>
          <w:b/>
          <w:i/>
          <w:sz w:val="20"/>
        </w:rPr>
        <w:t>Company</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to the participant listed below (“</w:t>
      </w:r>
      <w:r>
        <w:rPr>
          <w:rFonts w:ascii="Times New Roman;Times;serif" w:hAnsi="Times New Roman;Times;serif"/>
          <w:b/>
          <w:i/>
          <w:sz w:val="20"/>
        </w:rPr>
        <w:t>Participant</w:t>
      </w:r>
      <w:r>
        <w:rPr>
          <w:rFonts w:ascii="Times New Roman;Times;serif" w:hAnsi="Times New Roman;Times;serif"/>
          <w:sz w:val="20"/>
        </w:rPr>
        <w:t>”) the option described in this Grant Notice (the “</w:t>
      </w:r>
      <w:r>
        <w:rPr>
          <w:rFonts w:ascii="Times New Roman;Times;serif" w:hAnsi="Times New Roman;Times;serif"/>
          <w:b/>
          <w:i/>
          <w:sz w:val="20"/>
        </w:rPr>
        <w:t>Option</w:t>
      </w:r>
      <w:r>
        <w:rPr>
          <w:rFonts w:ascii="Times New Roman;Times;serif" w:hAnsi="Times New Roman;Times;serif"/>
          <w:sz w:val="20"/>
        </w:rPr>
        <w:t xml:space="preserve">”), subject to the terms and conditions of the Plan and the Option Agreement attached as </w:t>
      </w:r>
      <w:r>
        <w:rPr>
          <w:rFonts w:ascii="Times New Roman;Times;serif" w:hAnsi="Times New Roman;Times;serif"/>
          <w:b/>
          <w:sz w:val="20"/>
        </w:rPr>
        <w:t>Exhibit A</w:t>
      </w:r>
      <w:r>
        <w:rPr>
          <w:rFonts w:ascii="Times New Roman;Times;serif" w:hAnsi="Times New Roman;Times;serif"/>
          <w:sz w:val="20"/>
        </w:rPr>
        <w:t xml:space="preserve"> (the “</w:t>
      </w:r>
      <w:r>
        <w:rPr>
          <w:rFonts w:ascii="Times New Roman;Times;serif" w:hAnsi="Times New Roman;Times;serif"/>
          <w:b/>
          <w:i/>
          <w:sz w:val="20"/>
        </w:rPr>
        <w:t>Agreement</w:t>
      </w:r>
      <w:r>
        <w:rPr>
          <w:rFonts w:ascii="Times New Roman;Times;serif" w:hAnsi="Times New Roman;Times;serif"/>
          <w:sz w:val="20"/>
        </w:rPr>
        <w:t>”), both of which are incorporated into this Grant Notice by reference.</w:t>
      </w:r>
    </w:p>
    <w:tbl>
      <w:tblPr>
        <w:tblW w:w="6662" w:type="dxa"/>
        <w:jc w:val="center"/>
        <w:tblInd w:w="0" w:type="dxa"/>
        <w:tblLayout w:type="fixed"/>
        <w:tblCellMar>
          <w:top w:w="0" w:type="dxa"/>
          <w:left w:w="0" w:type="dxa"/>
          <w:bottom w:w="0" w:type="dxa"/>
          <w:right w:w="0" w:type="dxa"/>
        </w:tblCellMar>
      </w:tblPr>
      <w:tblGrid>
        <w:gridCol w:w="2551"/>
        <w:gridCol w:w="411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619885" cy="175260"/>
                      <wp:effectExtent l="0" t="0" r="0" b="0"/>
                      <wp:wrapNone/>
                      <wp:docPr id="370" name="Frame37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611120" cy="175260"/>
                      <wp:effectExtent l="0" t="0" r="0" b="0"/>
                      <wp:wrapNone/>
                      <wp:docPr id="371" name="Frame371"/>
                      <a:graphic xmlns:a="http://schemas.openxmlformats.org/drawingml/2006/main">
                        <a:graphicData uri="http://schemas.microsoft.com/office/word/2010/wordprocessingShape">
                          <wps:wsp>
                            <wps:cNvSpPr txBox="1"/>
                            <wps:spPr>
                              <a:xfrm>
                                <a:off x="0" y="0"/>
                                <a:ext cx="261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Participant:</w:t>
            </w:r>
          </w:p>
        </w:tc>
        <w:tc>
          <w:tcPr>
            <w:tcW w:w="411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 Date:</w:t>
            </w:r>
          </w:p>
        </w:tc>
        <w:tc>
          <w:tcPr>
            <w:tcW w:w="411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Exercise Price per Share:</w:t>
            </w:r>
          </w:p>
        </w:tc>
        <w:tc>
          <w:tcPr>
            <w:tcW w:w="411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Shares Subject to the Option:</w:t>
            </w:r>
          </w:p>
        </w:tc>
        <w:tc>
          <w:tcPr>
            <w:tcW w:w="411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Final Expiration Date:</w:t>
            </w:r>
          </w:p>
        </w:tc>
        <w:tc>
          <w:tcPr>
            <w:tcW w:w="411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Vesting Schedule:</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be specified in individual award agreements]</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Type of Option</w:t>
            </w:r>
          </w:p>
        </w:tc>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4667" w:type="dxa"/>
        <w:jc w:val="left"/>
        <w:tblInd w:w="0" w:type="dxa"/>
        <w:tblLayout w:type="fixed"/>
        <w:tblCellMar>
          <w:top w:w="0" w:type="dxa"/>
          <w:left w:w="0" w:type="dxa"/>
          <w:bottom w:w="0" w:type="dxa"/>
          <w:right w:w="0" w:type="dxa"/>
        </w:tblCellMar>
      </w:tblPr>
      <w:tblGrid>
        <w:gridCol w:w="2288"/>
        <w:gridCol w:w="427"/>
        <w:gridCol w:w="286"/>
        <w:gridCol w:w="1666"/>
      </w:tblGrid>
      <w:tr>
        <w:trPr/>
        <w:tc>
          <w:tcPr>
            <w:tcW w:w="2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52880" cy="175260"/>
                      <wp:effectExtent l="0" t="0" r="0" b="0"/>
                      <wp:wrapNone/>
                      <wp:docPr id="372" name="Frame372"/>
                      <a:graphic xmlns:a="http://schemas.openxmlformats.org/drawingml/2006/main">
                        <a:graphicData uri="http://schemas.microsoft.com/office/word/2010/wordprocessingShape">
                          <wps:wsp>
                            <wps:cNvSpPr txBox="1"/>
                            <wps:spPr>
                              <a:xfrm>
                                <a:off x="0" y="0"/>
                                <a:ext cx="145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71145" cy="175260"/>
                      <wp:effectExtent l="0" t="0" r="0" b="0"/>
                      <wp:wrapNone/>
                      <wp:docPr id="373" name="Frame373"/>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057910" cy="175260"/>
                      <wp:effectExtent l="0" t="0" r="0" b="0"/>
                      <wp:wrapNone/>
                      <wp:docPr id="374" name="Frame374"/>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HOLDINGS PLC</w:t>
            </w:r>
          </w:p>
        </w:tc>
        <w:tc>
          <w:tcPr>
            <w:tcW w:w="286" w:type="dxa"/>
            <w:tcBorders/>
            <w:vAlign w:val="center"/>
          </w:tcPr>
          <w:p>
            <w:pPr>
              <w:pStyle w:val="TableContents"/>
              <w:bidi w:val="0"/>
              <w:spacing w:before="0" w:after="0"/>
              <w:ind w:left="0" w:right="0" w:hanging="0"/>
              <w:jc w:val="left"/>
              <w:rPr/>
            </w:pPr>
            <w:r>
              <w:rPr/>
              <w:t>  ​ ​</w:t>
            </w:r>
          </w:p>
        </w:tc>
        <w:tc>
          <w:tcPr>
            <w:tcW w:w="16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PARTICIPANT</w:t>
            </w:r>
          </w:p>
        </w:tc>
      </w:tr>
      <w:tr>
        <w:trPr/>
        <w:tc>
          <w:tcPr>
            <w:tcW w:w="2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 Name]</w:t>
            </w:r>
          </w:p>
        </w:tc>
      </w:tr>
      <w:tr>
        <w:trPr/>
        <w:tc>
          <w:tcPr>
            <w:tcW w:w="2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OPTION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Capitalized terms not specifically defined in this Agreement have the meanings specified in the Grant Notice or, if not defined in the Grant Notice, in the Plan.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Grant of Option</w:t>
      </w:r>
      <w:r>
        <w:rPr>
          <w:rFonts w:ascii="Times New Roman;Times;serif" w:hAnsi="Times New Roman;Times;serif"/>
          <w:sz w:val="20"/>
        </w:rPr>
        <w:t>. The Company has granted to Participant the Option effective as of the grant date set forth in the Grant Notice (the “</w:t>
      </w:r>
      <w:r>
        <w:rPr>
          <w:rFonts w:ascii="Times New Roman;Times;serif" w:hAnsi="Times New Roman;Times;serif"/>
          <w:b/>
          <w:i/>
          <w:sz w:val="20"/>
        </w:rPr>
        <w:t>Grant Date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Incorporation of Terms of Plan</w:t>
      </w:r>
      <w:r>
        <w:rPr>
          <w:rFonts w:ascii="Times New Roman;Times;serif" w:hAnsi="Times New Roman;Times;serif"/>
          <w:sz w:val="20"/>
        </w:rPr>
        <w:t>. The Option is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Employment Inducement Award</w:t>
      </w:r>
      <w:r>
        <w:rPr>
          <w:rFonts w:ascii="Times New Roman;Times;serif" w:hAnsi="Times New Roman;Times;serif"/>
          <w:sz w:val="20"/>
        </w:rPr>
        <w:t>. The Option is intended to constitute an “employment inducement award” under NASDAQ Rule 5635(c)(4) that is exempt from the requirements of shareholder approval of equity compensation plans under NASDAQ Rule 5635(c)(4). This Agreement and the terms and conditions of the Option will be interpreted consistent with such intent.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PERIOD OF EXERCISABILITY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Commencement of Exercisability</w:t>
      </w:r>
      <w:r>
        <w:rPr>
          <w:rFonts w:ascii="Times New Roman;Times;serif" w:hAnsi="Times New Roman;Times;serif"/>
          <w:sz w:val="20"/>
        </w:rPr>
        <w:t>. The Option will vest and become exercisable according to the vesting schedule in the Grant Notice (the “</w:t>
      </w:r>
      <w:r>
        <w:rPr>
          <w:rFonts w:ascii="Times New Roman;Times;serif" w:hAnsi="Times New Roman;Times;serif"/>
          <w:b/>
          <w:i/>
          <w:sz w:val="20"/>
        </w:rPr>
        <w:t>Vesting Schedule</w:t>
      </w:r>
      <w:r>
        <w:rPr>
          <w:rFonts w:ascii="Times New Roman;Times;serif" w:hAnsi="Times New Roman;Times;serif"/>
          <w:sz w:val="20"/>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Duration of Exercisability</w:t>
      </w:r>
      <w:r>
        <w:rPr>
          <w:rFonts w:ascii="Times New Roman;Times;serif" w:hAnsi="Times New Roman;Times;serif"/>
          <w:sz w:val="20"/>
        </w:rPr>
        <w:t>. The Vesting Schedule is cumulative. Any portion of the Option which vests and becomes exercisable will remain vested and exercisable until the Option expires. The Option will be forfeited immediately upon its expiration.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Expiration of Option</w:t>
      </w:r>
      <w:r>
        <w:rPr>
          <w:rFonts w:ascii="Times New Roman;Times;serif" w:hAnsi="Times New Roman;Times;serif"/>
          <w:sz w:val="20"/>
        </w:rPr>
        <w:t>. The Option may not be exercised to any extent by anyone after, and will expire on, the first of the following to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final expiration date in the Grant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as the Administrator may otherwise approve, the expiration of three (3) months from the date of Participant’s Termination of Service, unless Participant’s Termination of Service is for Cause or by reason of Participant’s death or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Except as the Administrator may otherwise approve, the expiration of one (1) year from the date of Participant’s Termination of Service by reason of Participant’s death or Disability;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Except as the Administrator may otherwise approve, Participant’s Termination of Service for Cause.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EXERCISE OF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Person Eligible to Exercise</w:t>
      </w:r>
      <w:r>
        <w:rPr>
          <w:rFonts w:ascii="Times New Roman;Times;serif" w:hAnsi="Times New Roman;Times;serif"/>
          <w:sz w:val="20"/>
        </w:rPr>
        <w:t>. During Participant’s lifetime, only Participant may exercise the Option. After Participant’s death, any exercisable portion of the Option may, prior to the time the Option expires, be exercised by Participant’s Designated Beneficiary as provided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u w:val="single"/>
        </w:rPr>
        <w:t>Partial Exercise</w:t>
      </w:r>
      <w:r>
        <w:rPr>
          <w:rFonts w:ascii="Times New Roman;Times;serif" w:hAnsi="Times New Roman;Times;serif"/>
          <w:sz w:val="20"/>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sz w:val="20"/>
          <w:u w:val="single"/>
        </w:rPr>
        <w:t>Tax Withholding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OTHER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Adjustments</w:t>
      </w:r>
      <w:r>
        <w:rPr>
          <w:rFonts w:ascii="Times New Roman;Times;serif" w:hAnsi="Times New Roman;Times;serif"/>
          <w:sz w:val="20"/>
        </w:rPr>
        <w:t>. Participant acknowledges that the Option is subject to adjustment, modification and termination in certain events as provided in this Agreement and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Notices</w:t>
      </w:r>
      <w:r>
        <w:rPr>
          <w:rFonts w:ascii="Times New Roman;Times;serif" w:hAnsi="Times New Roman;Times;serif"/>
          <w:sz w:val="20"/>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Titles</w:t>
      </w:r>
      <w:r>
        <w:rPr>
          <w:rFonts w:ascii="Times New Roman;Times;serif" w:hAnsi="Times New Roman;Times;serif"/>
          <w:sz w:val="20"/>
        </w:rPr>
        <w:t>. Titles are provided herein for convenience only and are not to serve as a basis for interpretation or construction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u w:val="single"/>
        </w:rPr>
        <w:t>Conformity to Securities Laws</w:t>
      </w:r>
      <w:r>
        <w:rPr>
          <w:rFonts w:ascii="Times New Roman;Times;serif" w:hAnsi="Times New Roman;Times;serif"/>
          <w:sz w:val="20"/>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sz w:val="20"/>
          <w:u w:val="single"/>
        </w:rPr>
        <w:t>Successors and Assigns</w:t>
      </w:r>
      <w:r>
        <w:rPr>
          <w:rFonts w:ascii="Times New Roman;Times;serif" w:hAnsi="Times New Roman;Times;serif"/>
          <w:sz w:val="20"/>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sz w:val="20"/>
          <w:u w:val="single"/>
        </w:rPr>
        <w:t>Limitations Applicable to Section 16 Persons</w:t>
      </w:r>
      <w:r>
        <w:rPr>
          <w:rFonts w:ascii="Times New Roman;Times;serif" w:hAnsi="Times New Roman;Times;serif"/>
          <w:sz w:val="20"/>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4.7</w:t>
      </w:r>
      <w:r>
        <w:rPr>
          <w:rFonts w:ascii="Times New Roman;Times;serif" w:hAnsi="Times New Roman;Times;serif"/>
          <w:sz w:val="20"/>
          <w:u w:val="single"/>
        </w:rPr>
        <w:t>Entire Agreement</w:t>
      </w:r>
      <w:r>
        <w:rPr>
          <w:rFonts w:ascii="Times New Roman;Times;serif" w:hAnsi="Times New Roman;Times;serif"/>
          <w:sz w:val="20"/>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4.8</w:t>
      </w:r>
      <w:r>
        <w:rPr>
          <w:rFonts w:ascii="Times New Roman;Times;serif" w:hAnsi="Times New Roman;Times;serif"/>
          <w:sz w:val="20"/>
          <w:u w:val="single"/>
        </w:rPr>
        <w:t>Agreement Severable</w:t>
      </w:r>
      <w:r>
        <w:rPr>
          <w:rFonts w:ascii="Times New Roman;Times;serif" w:hAnsi="Times New Roman;Times;serif"/>
          <w:sz w:val="20"/>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4.9</w:t>
      </w:r>
      <w:r>
        <w:rPr>
          <w:rFonts w:ascii="Times New Roman;Times;serif" w:hAnsi="Times New Roman;Times;serif"/>
          <w:sz w:val="20"/>
          <w:u w:val="single"/>
        </w:rPr>
        <w:t>Limitation on Participant’s Rights</w:t>
      </w:r>
      <w:r>
        <w:rPr>
          <w:rFonts w:ascii="Times New Roman;Times;serif" w:hAnsi="Times New Roman;Times;serif"/>
          <w:sz w:val="20"/>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4.10</w:t>
      </w:r>
      <w:r>
        <w:rPr>
          <w:rFonts w:ascii="Times New Roman;Times;serif" w:hAnsi="Times New Roman;Times;serif"/>
          <w:sz w:val="20"/>
          <w:u w:val="single"/>
        </w:rPr>
        <w:t>Not a Contract of Employment</w:t>
      </w:r>
      <w:r>
        <w:rPr>
          <w:rFonts w:ascii="Times New Roman;Times;serif" w:hAnsi="Times New Roman;Times;serif"/>
          <w:sz w:val="20"/>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4.11</w:t>
      </w:r>
      <w:r>
        <w:rPr>
          <w:rFonts w:ascii="Times New Roman;Times;serif" w:hAnsi="Times New Roman;Times;serif"/>
          <w:sz w:val="20"/>
          <w:u w:val="single"/>
        </w:rPr>
        <w:t>Counterparts</w:t>
      </w:r>
      <w:r>
        <w:rPr>
          <w:rFonts w:ascii="Times New Roman;Times;serif" w:hAnsi="Times New Roman;Times;serif"/>
          <w:sz w:val="20"/>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4.13</w:t>
      </w:r>
      <w:r>
        <w:rPr>
          <w:rFonts w:ascii="Times New Roman;Times;serif" w:hAnsi="Times New Roman;Times;serif"/>
          <w:sz w:val="20"/>
          <w:u w:val="single"/>
        </w:rPr>
        <w:t>Electronic Delivery and Acceptance</w:t>
      </w:r>
      <w:r>
        <w:rPr>
          <w:rFonts w:ascii="Times New Roman;Times;serif" w:hAnsi="Times New Roman;Times;serif"/>
          <w:sz w:val="20"/>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4.14</w:t>
      </w:r>
      <w:r>
        <w:rPr>
          <w:rFonts w:ascii="Times New Roman;Times;serif" w:hAnsi="Times New Roman;Times;serif"/>
          <w:sz w:val="20"/>
          <w:u w:val="single"/>
        </w:rPr>
        <w:t>Deemed Acceptance</w:t>
      </w:r>
      <w:r>
        <w:rPr>
          <w:rFonts w:ascii="Times New Roman;Times;serif" w:hAnsi="Times New Roman;Times;serif"/>
          <w:sz w:val="20"/>
        </w:rPr>
        <w:t xml:space="preserve">. Participant is required to accept the terms and conditions set forth in this Agreement prior to the first vesting date in order for Participant to receive the Option granted hereunder. If Participant wishes to decline this Option, Participant must reject this Agreement prior to the first vesting date. For Participant’s benefit, if Participant has not rejected the Agreement prior to the first vesting date,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will be deemed to have automatically accepted this Option and all the terms and conditions set forth in this Agreement. Deemed acceptance will allow the shares to be released to Participant in a timely manner and once released, Participant waives any right to assert that Participant has not accepted the terms hereof.</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 * * *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13" w:name="mgtx-20260630xex10d15.htm"/>
      <w:bookmarkStart w:id="1614" w:name="ksmgtx20260630xex10d15"/>
      <w:bookmarkEnd w:id="1613"/>
      <w:bookmarkEnd w:id="1614"/>
      <w:r>
        <w:rPr/>
        <w:t>​</w:t>
      </w:r>
      <w:r>
        <w:br w:type="page"/>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Exhibit 10.15</w:t>
      </w:r>
    </w:p>
    <w:p>
      <w:pPr>
        <w:pStyle w:val="TextBody"/>
        <w:pBdr>
          <w:top w:val="single" w:sz="2" w:space="6" w:color="000000"/>
          <w:left w:val="single" w:sz="2" w:space="6" w:color="000000"/>
          <w:right w:val="single" w:sz="2" w:space="6"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MEIRAGTX HOLDINGS PLC</w:t>
      </w:r>
    </w:p>
    <w:p>
      <w:pPr>
        <w:pStyle w:val="TextBody"/>
        <w:pBdr>
          <w:left w:val="single" w:sz="2" w:space="6" w:color="000000"/>
          <w:bottom w:val="single" w:sz="2" w:space="6" w:color="000000"/>
          <w:right w:val="single" w:sz="2" w:space="6" w:color="000000"/>
        </w:pBdr>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2026 EMPLOYMENT INDUCEMENT AWARD PLAN</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RESTRICTED SHARE Unit Grant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Capitalized terms not specifically defined in this Restricted Share Unit Grant Notice (the “</w:t>
      </w:r>
      <w:r>
        <w:rPr>
          <w:rFonts w:ascii="Times New Roman;Times;serif" w:hAnsi="Times New Roman;Times;serif"/>
          <w:b/>
          <w:i/>
          <w:sz w:val="22"/>
        </w:rPr>
        <w:t>Grant Notice</w:t>
      </w:r>
      <w:r>
        <w:rPr>
          <w:rFonts w:ascii="Times New Roman;Times;serif" w:hAnsi="Times New Roman;Times;serif"/>
          <w:sz w:val="20"/>
        </w:rPr>
        <w:t>”</w:t>
      </w:r>
      <w:r>
        <w:rPr>
          <w:rFonts w:ascii="Times New Roman;Times;serif" w:hAnsi="Times New Roman;Times;serif"/>
          <w:sz w:val="22"/>
        </w:rPr>
        <w:t>) have the meanings given to them in the 2026 Employment Inducement Award Plan (as amended from time to time, the “</w:t>
      </w:r>
      <w:r>
        <w:rPr>
          <w:rFonts w:ascii="Times New Roman;Times;serif" w:hAnsi="Times New Roman;Times;serif"/>
          <w:b/>
          <w:i/>
          <w:sz w:val="22"/>
        </w:rPr>
        <w:t>Plan</w:t>
      </w:r>
      <w:r>
        <w:rPr>
          <w:rFonts w:ascii="Times New Roman;Times;serif" w:hAnsi="Times New Roman;Times;serif"/>
          <w:sz w:val="20"/>
        </w:rPr>
        <w:t>”</w:t>
      </w:r>
      <w:r>
        <w:rPr>
          <w:rFonts w:ascii="Times New Roman;Times;serif" w:hAnsi="Times New Roman;Times;serif"/>
          <w:sz w:val="22"/>
        </w:rPr>
        <w:t>) of MeiraGTx Holdings plc (the “</w:t>
      </w:r>
      <w:r>
        <w:rPr>
          <w:rFonts w:ascii="Times New Roman;Times;serif" w:hAnsi="Times New Roman;Times;serif"/>
          <w:b/>
          <w:i/>
          <w:sz w:val="22"/>
        </w:rPr>
        <w:t>Company</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Company has granted to the participant listed below (“</w:t>
      </w:r>
      <w:r>
        <w:rPr>
          <w:rFonts w:ascii="Times New Roman;Times;serif" w:hAnsi="Times New Roman;Times;serif"/>
          <w:b/>
          <w:i/>
          <w:sz w:val="22"/>
        </w:rPr>
        <w:t>Participant</w:t>
      </w:r>
      <w:r>
        <w:rPr>
          <w:rFonts w:ascii="Times New Roman;Times;serif" w:hAnsi="Times New Roman;Times;serif"/>
          <w:sz w:val="20"/>
        </w:rPr>
        <w:t>”</w:t>
      </w:r>
      <w:r>
        <w:rPr>
          <w:rFonts w:ascii="Times New Roman;Times;serif" w:hAnsi="Times New Roman;Times;serif"/>
          <w:sz w:val="22"/>
        </w:rPr>
        <w:t>) the Restricted Share Units described in this Grant Notice (the “</w:t>
      </w:r>
      <w:r>
        <w:rPr>
          <w:rFonts w:ascii="Times New Roman;Times;serif" w:hAnsi="Times New Roman;Times;serif"/>
          <w:b/>
          <w:i/>
          <w:sz w:val="22"/>
        </w:rPr>
        <w:t>RSUs</w:t>
      </w:r>
      <w:r>
        <w:rPr>
          <w:rFonts w:ascii="Times New Roman;Times;serif" w:hAnsi="Times New Roman;Times;serif"/>
          <w:sz w:val="20"/>
        </w:rPr>
        <w:t>”</w:t>
      </w:r>
      <w:r>
        <w:rPr>
          <w:rFonts w:ascii="Times New Roman;Times;serif" w:hAnsi="Times New Roman;Times;serif"/>
          <w:sz w:val="22"/>
        </w:rPr>
        <w:t xml:space="preserve">), subject to the terms and conditions of the Plan and the Restricted Share Unit Agreement attached as </w:t>
      </w:r>
      <w:r>
        <w:rPr>
          <w:rFonts w:ascii="Times New Roman;Times;serif" w:hAnsi="Times New Roman;Times;serif"/>
          <w:b/>
          <w:sz w:val="22"/>
        </w:rPr>
        <w:t>Exhibit A</w:t>
      </w:r>
      <w:r>
        <w:rPr>
          <w:rFonts w:ascii="Times New Roman;Times;serif" w:hAnsi="Times New Roman;Times;serif"/>
          <w:sz w:val="20"/>
        </w:rPr>
        <w:t xml:space="preserve"> </w:t>
      </w:r>
      <w:r>
        <w:rPr>
          <w:rFonts w:ascii="Times New Roman;Times;serif" w:hAnsi="Times New Roman;Times;serif"/>
          <w:sz w:val="22"/>
        </w:rPr>
        <w:t>(the “</w:t>
      </w:r>
      <w:r>
        <w:rPr>
          <w:rFonts w:ascii="Times New Roman;Times;serif" w:hAnsi="Times New Roman;Times;serif"/>
          <w:b/>
          <w:i/>
          <w:sz w:val="22"/>
        </w:rPr>
        <w:t>Agreement</w:t>
      </w:r>
      <w:r>
        <w:rPr>
          <w:rFonts w:ascii="Times New Roman;Times;serif" w:hAnsi="Times New Roman;Times;serif"/>
          <w:sz w:val="20"/>
        </w:rPr>
        <w:t>”</w:t>
      </w:r>
      <w:r>
        <w:rPr>
          <w:rFonts w:ascii="Times New Roman;Times;serif" w:hAnsi="Times New Roman;Times;serif"/>
          <w:sz w:val="22"/>
        </w:rPr>
        <w:t>), both of which are incorporated into this Grant Notice by reference.</w:t>
      </w:r>
    </w:p>
    <w:tbl>
      <w:tblPr>
        <w:tblW w:w="7817" w:type="dxa"/>
        <w:jc w:val="left"/>
        <w:tblInd w:w="0" w:type="dxa"/>
        <w:tblLayout w:type="fixed"/>
        <w:tblCellMar>
          <w:top w:w="0" w:type="dxa"/>
          <w:left w:w="0" w:type="dxa"/>
          <w:bottom w:w="0" w:type="dxa"/>
          <w:right w:w="0" w:type="dxa"/>
        </w:tblCellMar>
      </w:tblPr>
      <w:tblGrid>
        <w:gridCol w:w="3076"/>
        <w:gridCol w:w="4741"/>
      </w:tblGrid>
      <w:tr>
        <w:trPr/>
        <w:tc>
          <w:tcPr>
            <w:tcW w:w="307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Participant:</w:t>
            </w:r>
          </w:p>
        </w:tc>
        <w:tc>
          <w:tcPr>
            <w:tcW w:w="474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Grant Date:</w:t>
            </w:r>
          </w:p>
        </w:tc>
        <w:tc>
          <w:tcPr>
            <w:tcW w:w="474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Number of RSUs:</w:t>
            </w:r>
          </w:p>
        </w:tc>
        <w:tc>
          <w:tcPr>
            <w:tcW w:w="474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Vesting Commencement Date:</w:t>
            </w:r>
          </w:p>
        </w:tc>
        <w:tc>
          <w:tcPr>
            <w:tcW w:w="474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Vesting Schedule:</w:t>
            </w:r>
          </w:p>
        </w:tc>
        <w:tc>
          <w:tcPr>
            <w:tcW w:w="4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 be specified in individual award agreements]</w:t>
            </w:r>
          </w:p>
        </w:tc>
      </w:tr>
      <w:tr>
        <w:trPr/>
        <w:tc>
          <w:tcPr>
            <w:tcW w:w="307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4490" w:type="dxa"/>
        <w:jc w:val="center"/>
        <w:tblInd w:w="0" w:type="dxa"/>
        <w:tblLayout w:type="fixed"/>
        <w:tblCellMar>
          <w:top w:w="0" w:type="dxa"/>
          <w:left w:w="0" w:type="dxa"/>
          <w:bottom w:w="0" w:type="dxa"/>
          <w:right w:w="0" w:type="dxa"/>
        </w:tblCellMar>
      </w:tblPr>
      <w:tblGrid>
        <w:gridCol w:w="2288"/>
        <w:gridCol w:w="427"/>
        <w:gridCol w:w="109"/>
        <w:gridCol w:w="1666"/>
      </w:tblGrid>
      <w:tr>
        <w:trPr/>
        <w:tc>
          <w:tcPr>
            <w:tcW w:w="2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52880" cy="175260"/>
                      <wp:effectExtent l="0" t="0" r="0" b="0"/>
                      <wp:wrapNone/>
                      <wp:docPr id="375" name="Frame375"/>
                      <a:graphic xmlns:a="http://schemas.openxmlformats.org/drawingml/2006/main">
                        <a:graphicData uri="http://schemas.microsoft.com/office/word/2010/wordprocessingShape">
                          <wps:wsp>
                            <wps:cNvSpPr txBox="1"/>
                            <wps:spPr>
                              <a:xfrm>
                                <a:off x="0" y="0"/>
                                <a:ext cx="145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71145" cy="175260"/>
                      <wp:effectExtent l="0" t="0" r="0" b="0"/>
                      <wp:wrapNone/>
                      <wp:docPr id="376" name="Frame376"/>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058545" cy="175260"/>
                      <wp:effectExtent l="0" t="0" r="0" b="0"/>
                      <wp:wrapNone/>
                      <wp:docPr id="377" name="Frame377"/>
                      <a:graphic xmlns:a="http://schemas.openxmlformats.org/drawingml/2006/main">
                        <a:graphicData uri="http://schemas.microsoft.com/office/word/2010/wordprocessingShape">
                          <wps:wsp>
                            <wps:cNvSpPr txBox="1"/>
                            <wps:spPr>
                              <a:xfrm>
                                <a:off x="0" y="0"/>
                                <a:ext cx="1058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HOLDINGS PLC</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PARTICIPANT</w:t>
            </w:r>
          </w:p>
        </w:tc>
      </w:tr>
      <w:tr>
        <w:trPr/>
        <w:tc>
          <w:tcPr>
            <w:tcW w:w="2715"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r>
      <w:tr>
        <w:trPr/>
        <w:tc>
          <w:tcPr>
            <w:tcW w:w="2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7"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7" w:type="dxa"/>
            <w:tcBorders>
              <w:top w:val="single" w:sz="2" w:space="0" w:color="000000"/>
              <w:bottom w:val="single" w:sz="2" w:space="0" w:color="000000"/>
            </w:tcBorders>
            <w:tcMar>
              <w:top w:w="28" w:type="dxa"/>
              <w:bottom w:w="28" w:type="dxa"/>
            </w:tcMar>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 Name]</w:t>
            </w:r>
          </w:p>
        </w:tc>
      </w:tr>
      <w:tr>
        <w:trPr/>
        <w:tc>
          <w:tcPr>
            <w:tcW w:w="2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7" w:type="dxa"/>
            <w:tcBorders>
              <w:top w:val="single" w:sz="2" w:space="0" w:color="000000"/>
              <w:bottom w:val="single" w:sz="2" w:space="0" w:color="000000"/>
            </w:tcBorders>
            <w:tcMar>
              <w:top w:w="28" w:type="dxa"/>
              <w:bottom w:w="28" w:type="dxa"/>
            </w:tcMar>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Exhibit A</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RESTRICTED SHARE UNIT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Capitalized terms not specifically defined in this Agreement have the meanings specified in the Grant Notice or, if not defined in the Grant Notice, in the Plan.</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sz w:val="22"/>
          <w:u w:val="single"/>
        </w:rPr>
        <w:t>Award of RSUs and Dividend Equivalents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Company has granted the RSUs to Participant effective as of the grant date set forth in the Grant Notice (the “</w:t>
      </w:r>
      <w:r>
        <w:rPr>
          <w:rFonts w:ascii="Times New Roman;Times;serif" w:hAnsi="Times New Roman;Times;serif"/>
          <w:b/>
          <w:i/>
          <w:sz w:val="22"/>
        </w:rPr>
        <w:t>Grant Date</w:t>
      </w:r>
      <w:r>
        <w:rPr>
          <w:rFonts w:ascii="Times New Roman;Times;serif" w:hAnsi="Times New Roman;Times;serif"/>
          <w:sz w:val="20"/>
        </w:rPr>
        <w:t>”</w:t>
      </w:r>
      <w:r>
        <w:rPr>
          <w:rFonts w:ascii="Times New Roman;Times;serif" w:hAnsi="Times New Roman;Times;serif"/>
          <w:sz w:val="22"/>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Times;serif" w:hAnsi="Times New Roman;Times;serif"/>
          <w:b/>
          <w:i/>
          <w:sz w:val="22"/>
        </w:rPr>
        <w:t>Dividend Equivalent Account</w:t>
      </w:r>
      <w:r>
        <w:rPr>
          <w:rFonts w:ascii="Times New Roman;Times;serif" w:hAnsi="Times New Roman;Times;serif"/>
          <w:sz w:val="20"/>
        </w:rPr>
        <w:t>”</w:t>
      </w:r>
      <w:r>
        <w:rPr>
          <w:rFonts w:ascii="Times New Roman;Times;serif" w:hAnsi="Times New Roman;Times;serif"/>
          <w:sz w:val="22"/>
        </w:rPr>
        <w:t>) for each Dividend Equivalent and credit the Dividend Equivalent Account (without interest) on the applicable dividend payment date with the amount of any such cash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1.2</w:t>
      </w:r>
      <w:r>
        <w:rPr>
          <w:rFonts w:ascii="Times New Roman;Times;serif" w:hAnsi="Times New Roman;Times;serif"/>
          <w:sz w:val="22"/>
          <w:u w:val="single"/>
        </w:rPr>
        <w:t>Incorporation of Terms of Plan</w:t>
      </w:r>
      <w:r>
        <w:rPr>
          <w:rFonts w:ascii="Times New Roman;Times;serif" w:hAnsi="Times New Roman;Times;serif"/>
          <w:sz w:val="22"/>
        </w:rPr>
        <w:t>.  The RSUs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1.3</w:t>
      </w:r>
      <w:r>
        <w:rPr>
          <w:rFonts w:ascii="Times New Roman;Times;serif" w:hAnsi="Times New Roman;Times;serif"/>
          <w:sz w:val="22"/>
          <w:u w:val="single"/>
        </w:rPr>
        <w:t>Unsecured Promise</w:t>
      </w:r>
      <w:r>
        <w:rPr>
          <w:rFonts w:ascii="Times New Roman;Times;serif" w:hAnsi="Times New Roman;Times;serif"/>
          <w:sz w:val="22"/>
        </w:rPr>
        <w:t>.  The RSUs and Dividend Equivalents will at all times prior to settlement represent an unsecured Company obligation payable only from the Company’s general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1.4</w:t>
      </w:r>
      <w:r>
        <w:rPr>
          <w:rFonts w:ascii="Times New Roman;Times;serif" w:hAnsi="Times New Roman;Times;serif"/>
          <w:sz w:val="22"/>
          <w:u w:val="single"/>
        </w:rPr>
        <w:t>Employment Inducement Award</w:t>
      </w:r>
      <w:r>
        <w:rPr>
          <w:rFonts w:ascii="Times New Roman;Times;serif" w:hAnsi="Times New Roman;Times;serif"/>
          <w:sz w:val="22"/>
        </w:rPr>
        <w:t>.  The RSUs are intended to constitute an “employment inducement award” under NASDAQ Rule 5635(c)(4) that is exempt from the requirements of shareholder approval of equity compensation plans under NASDAQ Rule 5635(c)(4). This Agreement and the terms and conditions of the RSUs will be interpreted consistent with such intent.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Article II.</w:t>
        <w:br/>
        <w:t>VESTING; forfeiture AND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2.1</w:t>
      </w:r>
      <w:r>
        <w:rPr>
          <w:rFonts w:ascii="Times New Roman;Times;serif" w:hAnsi="Times New Roman;Times;serif"/>
          <w:sz w:val="22"/>
          <w:u w:val="single"/>
        </w:rPr>
        <w:t>Vesting; Forfeiture</w:t>
      </w:r>
      <w:r>
        <w:rPr>
          <w:rFonts w:ascii="Times New Roman;Times;serif" w:hAnsi="Times New Roman;Times;serif"/>
          <w:sz w:val="22"/>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2.2</w:t>
      </w:r>
      <w:r>
        <w:rPr>
          <w:rFonts w:ascii="Times New Roman;Times;serif" w:hAnsi="Times New Roman;Times;serif"/>
          <w:sz w:val="22"/>
          <w:u w:val="single"/>
        </w:rPr>
        <w:t>Settlement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III.</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TAXATION AND TAX WITHHOLDING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3.1</w:t>
      </w:r>
      <w:r>
        <w:rPr>
          <w:rFonts w:ascii="Times New Roman;Times;serif" w:hAnsi="Times New Roman;Times;serif"/>
          <w:sz w:val="22"/>
          <w:u w:val="single"/>
        </w:rPr>
        <w:t>Representation</w:t>
      </w:r>
      <w:r>
        <w:rPr>
          <w:rFonts w:ascii="Times New Roman;Times;serif" w:hAnsi="Times New Roman;Times;serif"/>
          <w:sz w:val="22"/>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3.2</w:t>
      </w:r>
      <w:r>
        <w:rPr>
          <w:rFonts w:ascii="Times New Roman;Times;serif" w:hAnsi="Times New Roman;Times;serif"/>
          <w:sz w:val="22"/>
          <w:u w:val="single"/>
        </w:rPr>
        <w:t>Tax Withholding</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Notwithstanding Section 9.5 of the Plan, unless the Administrator otherwise determines, any withholding tax obligation arising in connection with the RSUs or Dividend Equivalents shall be satisfied by the Company’s retaining from Shares otherwise issuable under the Award the minimum number of whole Shares, valued at their Fair Market Value as of the time the tax withholding obligation arises, that is sufficient to satisfy such tax withholding obligation based on applicable statutory withholding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IV.</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other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w:t>
      </w:r>
      <w:r>
        <w:rPr>
          <w:rFonts w:ascii="Times New Roman;Times;serif" w:hAnsi="Times New Roman;Times;serif"/>
          <w:sz w:val="22"/>
          <w:u w:val="single"/>
        </w:rPr>
        <w:t>Adjustments</w:t>
      </w:r>
      <w:r>
        <w:rPr>
          <w:rFonts w:ascii="Times New Roman;Times;serif" w:hAnsi="Times New Roman;Times;serif"/>
          <w:sz w:val="22"/>
        </w:rPr>
        <w:t>.  Participant acknowledges that the RSUs, the Shares subject to the RSUs and the Dividend Equivalents are subject to adjustment, modification and termination in certain events as provided in this Agreement and the Plan.</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4.2</w:t>
      </w:r>
      <w:r>
        <w:rPr>
          <w:rFonts w:ascii="Times New Roman;Times;serif" w:hAnsi="Times New Roman;Times;serif"/>
          <w:sz w:val="22"/>
          <w:u w:val="single"/>
        </w:rPr>
        <w:t>Notices</w:t>
      </w:r>
      <w:r>
        <w:rPr>
          <w:rFonts w:ascii="Times New Roman;Times;serif" w:hAnsi="Times New Roman;Times;serif"/>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4.3</w:t>
      </w:r>
      <w:r>
        <w:rPr>
          <w:rFonts w:ascii="Times New Roman;Times;serif" w:hAnsi="Times New Roman;Times;serif"/>
          <w:sz w:val="22"/>
          <w:u w:val="single"/>
        </w:rPr>
        <w:t>Titles</w:t>
      </w:r>
      <w:r>
        <w:rPr>
          <w:rFonts w:ascii="Times New Roman;Times;serif" w:hAnsi="Times New Roman;Times;serif"/>
          <w:sz w:val="22"/>
        </w:rPr>
        <w:t>.  Titles are provided herein for convenience only and are not to serve as a basis for interpretation or construction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4.4</w:t>
      </w:r>
      <w:r>
        <w:rPr>
          <w:rFonts w:ascii="Times New Roman;Times;serif" w:hAnsi="Times New Roman;Times;serif"/>
          <w:sz w:val="22"/>
          <w:u w:val="single"/>
        </w:rPr>
        <w:t>Conformity to Securities Laws</w:t>
      </w:r>
      <w:r>
        <w:rPr>
          <w:rFonts w:ascii="Times New Roman;Times;serif" w:hAnsi="Times New Roman;Times;serif"/>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4.5</w:t>
      </w:r>
      <w:r>
        <w:rPr>
          <w:rFonts w:ascii="Times New Roman;Times;serif" w:hAnsi="Times New Roman;Times;serif"/>
          <w:sz w:val="22"/>
          <w:u w:val="single"/>
        </w:rPr>
        <w:t>Successors and Assigns</w:t>
      </w:r>
      <w:r>
        <w:rPr>
          <w:rFonts w:ascii="Times New Roman;Times;serif" w:hAnsi="Times New Roman;Times;serif"/>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4.6</w:t>
      </w:r>
      <w:r>
        <w:rPr>
          <w:rFonts w:ascii="Times New Roman;Times;serif" w:hAnsi="Times New Roman;Times;serif"/>
          <w:sz w:val="22"/>
          <w:u w:val="single"/>
        </w:rPr>
        <w:t>Limitations Applicable to Section 16 Persons</w:t>
      </w:r>
      <w:r>
        <w:rPr>
          <w:rFonts w:ascii="Times New Roman;Times;serif" w:hAnsi="Times New Roman;Times;serif"/>
          <w:sz w:val="22"/>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4.7</w:t>
      </w:r>
      <w:r>
        <w:rPr>
          <w:rFonts w:ascii="Times New Roman;Times;serif" w:hAnsi="Times New Roman;Times;serif"/>
          <w:sz w:val="22"/>
          <w:u w:val="single"/>
        </w:rPr>
        <w:t>Entire Agreement</w:t>
      </w:r>
      <w:r>
        <w:rPr>
          <w:rFonts w:ascii="Times New Roman;Times;serif" w:hAnsi="Times New Roman;Times;serif"/>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4.8</w:t>
      </w:r>
      <w:r>
        <w:rPr>
          <w:rFonts w:ascii="Times New Roman;Times;serif" w:hAnsi="Times New Roman;Times;serif"/>
          <w:sz w:val="22"/>
          <w:u w:val="single"/>
        </w:rPr>
        <w:t>Agreement Severable</w:t>
      </w:r>
      <w:r>
        <w:rPr>
          <w:rFonts w:ascii="Times New Roman;Times;serif" w:hAnsi="Times New Roman;Times;serif"/>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4.9</w:t>
      </w:r>
      <w:r>
        <w:rPr>
          <w:rFonts w:ascii="Times New Roman;Times;serif" w:hAnsi="Times New Roman;Times;serif"/>
          <w:sz w:val="22"/>
          <w:u w:val="single"/>
        </w:rPr>
        <w:t>Limitation on Participant’s Rights</w:t>
      </w:r>
      <w:r>
        <w:rPr>
          <w:rFonts w:ascii="Times New Roman;Times;serif" w:hAnsi="Times New Roman;Times;serif"/>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4.10</w:t>
      </w:r>
      <w:r>
        <w:rPr>
          <w:rFonts w:ascii="Times New Roman;Times;serif" w:hAnsi="Times New Roman;Times;serif"/>
          <w:sz w:val="22"/>
          <w:u w:val="single"/>
        </w:rPr>
        <w:t>Not a Contract of Employment</w:t>
      </w:r>
      <w:r>
        <w:rPr>
          <w:rFonts w:ascii="Times New Roman;Times;serif" w:hAnsi="Times New Roman;Times;serif"/>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4.11</w:t>
      </w:r>
      <w:r>
        <w:rPr>
          <w:rFonts w:ascii="Times New Roman;Times;serif" w:hAnsi="Times New Roman;Times;serif"/>
          <w:sz w:val="22"/>
          <w:u w:val="single"/>
        </w:rPr>
        <w:t>Counterparts</w:t>
      </w:r>
      <w:r>
        <w:rPr>
          <w:rFonts w:ascii="Times New Roman;Times;serif" w:hAnsi="Times New Roman;Times;serif"/>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4.12</w:t>
      </w:r>
      <w:r>
        <w:rPr>
          <w:rFonts w:ascii="Times New Roman;Times;serif" w:hAnsi="Times New Roman;Times;serif"/>
          <w:sz w:val="22"/>
          <w:u w:val="single"/>
        </w:rPr>
        <w:t>Electronic Delivery and Acceptance</w:t>
      </w:r>
      <w:r>
        <w:rPr>
          <w:rFonts w:ascii="Times New Roman;Times;serif" w:hAnsi="Times New Roman;Times;serif"/>
          <w:sz w:val="22"/>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4.13</w:t>
      </w:r>
      <w:r>
        <w:rPr>
          <w:rFonts w:ascii="Times New Roman;Times;serif" w:hAnsi="Times New Roman;Times;serif"/>
          <w:sz w:val="22"/>
          <w:u w:val="single"/>
        </w:rPr>
        <w:t>Deemed Acceptance</w:t>
      </w:r>
      <w:r>
        <w:rPr>
          <w:rFonts w:ascii="Times New Roman;Times;serif" w:hAnsi="Times New Roman;Times;serif"/>
          <w:sz w:val="22"/>
        </w:rPr>
        <w:t>.  Participant is required to accept the terms and conditions set forth in this Agreement prior to the first vesting date in order for Participant to receive the RSUs granted hereunder. If Participant wishes to decline the RSUs, Participant must reject this Agreement prior to the first vesting date. For Participant’s benefit, if Participant has not rejected the Agreement prior to the first vesting date, Participant will be deemed to have automatically accepted the RSUs and all the terms and conditions set forth in this Agreement. Deemed acceptance will allow the shares to be released to Participant in a timely manner and once released, Participant waives any right to assert that Participant has not accepted the terms hereof.</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 * * *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A-4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615" w:name="mgtx-20260630xex31d1.htm"/>
      <w:bookmarkStart w:id="1616" w:name="ksmgtx20260630xex31d1"/>
      <w:bookmarkEnd w:id="1615"/>
      <w:bookmarkEnd w:id="1616"/>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Alexandria Forbes, certify that:</w:t>
      </w:r>
    </w:p>
    <w:p>
      <w:pPr>
        <w:pStyle w:val="TextBody"/>
        <w:pBdr/>
        <w:bidi w:val="0"/>
        <w:spacing w:before="0" w:after="120"/>
        <w:ind w:left="0" w:right="0" w:hanging="490"/>
        <w:jc w:val="left"/>
        <w:rPr>
          <w:rFonts w:ascii="Times New Roman;Times;serif" w:hAnsi="Times New Roman;Times;serif"/>
          <w:sz w:val="20"/>
        </w:rPr>
      </w:pPr>
      <w:r>
        <w:rPr>
          <w:rFonts w:ascii="Times New Roman;Times;serif" w:hAnsi="Times New Roman;Times;serif"/>
          <w:sz w:val="20"/>
        </w:rPr>
        <w:t>1.       I have reviewed this Quarterly Report on Form 10-Q for the quarterly period ended June 30, 2026 of MeiraGTx Holdings plc;</w:t>
      </w:r>
    </w:p>
    <w:p>
      <w:pPr>
        <w:pStyle w:val="TextBody"/>
        <w:pBdr/>
        <w:bidi w:val="0"/>
        <w:spacing w:before="0" w:after="120"/>
        <w:ind w:left="0" w:right="0" w:hanging="49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120"/>
        <w:ind w:left="0" w:right="0" w:hanging="49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120"/>
        <w:ind w:left="0" w:right="0" w:hanging="49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120"/>
        <w:ind w:left="630" w:right="0" w:hanging="45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120"/>
        <w:ind w:left="630" w:right="0" w:hanging="45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120"/>
        <w:ind w:left="630" w:right="0" w:hanging="45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120"/>
        <w:ind w:left="630" w:right="0" w:hanging="45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120"/>
        <w:ind w:left="0" w:right="0" w:hanging="49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120"/>
        <w:ind w:left="630" w:right="0" w:hanging="45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630" w:right="0" w:hanging="45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5688" w:type="dxa"/>
        <w:jc w:val="center"/>
        <w:tblInd w:w="0" w:type="dxa"/>
        <w:tblLayout w:type="fixed"/>
        <w:tblCellMar>
          <w:top w:w="0" w:type="dxa"/>
          <w:left w:w="0" w:type="dxa"/>
          <w:bottom w:w="0" w:type="dxa"/>
          <w:right w:w="0" w:type="dxa"/>
        </w:tblCellMar>
      </w:tblPr>
      <w:tblGrid>
        <w:gridCol w:w="1951"/>
        <w:gridCol w:w="406"/>
        <w:gridCol w:w="333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ay</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373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73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Alexandria Forbes</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Alexandria Forbes</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617" w:name="mgtx-20260630xex31d2.htm"/>
      <w:bookmarkStart w:id="1618" w:name="ksmgtx20260630xex31d2"/>
      <w:bookmarkEnd w:id="1617"/>
      <w:bookmarkEnd w:id="1618"/>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Richard Giroux, certify that:</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1003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for the quarterly period ended June 30, 2026 of MeiraGTx Holdings plc;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6873" w:type="dxa"/>
        <w:jc w:val="center"/>
        <w:tblInd w:w="0" w:type="dxa"/>
        <w:tblLayout w:type="fixed"/>
        <w:tblCellMar>
          <w:top w:w="0" w:type="dxa"/>
          <w:left w:w="0" w:type="dxa"/>
          <w:bottom w:w="0" w:type="dxa"/>
          <w:right w:w="0" w:type="dxa"/>
        </w:tblCellMar>
      </w:tblPr>
      <w:tblGrid>
        <w:gridCol w:w="1951"/>
        <w:gridCol w:w="406"/>
        <w:gridCol w:w="45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92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2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Richard Giroux</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Richard Giroux</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Chief Operating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619" w:name="mgtx-20260630xex32d1.htm"/>
      <w:bookmarkStart w:id="1620" w:name="ksmgtx20260630xex32d1"/>
      <w:bookmarkEnd w:id="1619"/>
      <w:bookmarkEnd w:id="162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of MeiraGTx Holdings plc (the “Company”) on Form 10-Q for the quarterly period ended June 30, 2026 as filed with the Securities and Exchange Commission on the date hereof (the “Report”), I certify, pursuant to 18 U.S.C. § 1350, as adopted pursuant to § 906 of the Sarbanes-Oxley Act of 2002, that to the best of my knowledge:</w:t>
      </w:r>
    </w:p>
    <w:p>
      <w:pPr>
        <w:pStyle w:val="TextBody"/>
        <w:pBdr/>
        <w:bidi w:val="0"/>
        <w:spacing w:before="0" w:after="120"/>
        <w:ind w:left="611" w:right="0" w:hanging="49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611" w:right="0" w:hanging="49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5688" w:type="dxa"/>
        <w:jc w:val="center"/>
        <w:tblInd w:w="0" w:type="dxa"/>
        <w:tblLayout w:type="fixed"/>
        <w:tblCellMar>
          <w:top w:w="0" w:type="dxa"/>
          <w:left w:w="0" w:type="dxa"/>
          <w:bottom w:w="0" w:type="dxa"/>
          <w:right w:w="0" w:type="dxa"/>
        </w:tblCellMar>
      </w:tblPr>
      <w:tblGrid>
        <w:gridCol w:w="1951"/>
        <w:gridCol w:w="406"/>
        <w:gridCol w:w="33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Alexandria Forbes</w:t>
            </w:r>
          </w:p>
        </w:tc>
      </w:tr>
      <w:tr>
        <w:trPr/>
        <w:tc>
          <w:tcPr>
            <w:tcW w:w="195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Alexandria Forbes</w:t>
            </w:r>
          </w:p>
        </w:tc>
      </w:tr>
      <w:tr>
        <w:trPr/>
        <w:tc>
          <w:tcPr>
            <w:tcW w:w="195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95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621" w:name="mgtx-20260630xex32d2.htm"/>
      <w:bookmarkStart w:id="1622" w:name="ksmgtx20260630xex32d2"/>
      <w:bookmarkEnd w:id="1621"/>
      <w:bookmarkEnd w:id="162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of MeiraGTx Holdings plc (the “Company”) on Form 10-Q for the quarterly period ended June 30, 2026 as filed with the Securities and Exchange Commission on the date hereof (the “Report”), I certify, pursuant to 18 U.S.C. § 1350, as adopted pursuant to § 906 of the Sarbanes-Oxley Act of 2002, that to the best of my knowledge:</w:t>
      </w:r>
    </w:p>
    <w:p>
      <w:pPr>
        <w:pStyle w:val="TextBody"/>
        <w:pBdr/>
        <w:bidi w:val="0"/>
        <w:spacing w:before="0" w:after="120"/>
        <w:ind w:left="611" w:right="0" w:hanging="49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611" w:right="0" w:hanging="49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6873" w:type="dxa"/>
        <w:jc w:val="center"/>
        <w:tblInd w:w="0" w:type="dxa"/>
        <w:tblLayout w:type="fixed"/>
        <w:tblCellMar>
          <w:top w:w="0" w:type="dxa"/>
          <w:left w:w="0" w:type="dxa"/>
          <w:bottom w:w="0" w:type="dxa"/>
          <w:right w:w="0" w:type="dxa"/>
        </w:tblCellMar>
      </w:tblPr>
      <w:tblGrid>
        <w:gridCol w:w="1951"/>
        <w:gridCol w:w="406"/>
        <w:gridCol w:w="45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Richard Giroux</w:t>
            </w:r>
          </w:p>
        </w:tc>
      </w:tr>
      <w:tr>
        <w:trPr/>
        <w:tc>
          <w:tcPr>
            <w:tcW w:w="195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Richard Giroux</w:t>
            </w:r>
          </w:p>
        </w:tc>
      </w:tr>
      <w:tr>
        <w:trPr/>
        <w:tc>
          <w:tcPr>
            <w:tcW w:w="195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Chief Operating Officer</w:t>
            </w:r>
          </w:p>
        </w:tc>
      </w:tr>
      <w:tr>
        <w:trPr/>
        <w:tc>
          <w:tcPr>
            <w:tcW w:w="195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5438/000110465926044028/mgtx-20260415xex10d1.htm" TargetMode="External"/><Relationship Id="rId3" Type="http://schemas.openxmlformats.org/officeDocument/2006/relationships/hyperlink" Target="https://www.sec.gov/Archives/edgar/data/1735438/000110465926044028/mgtx-20260415xex10d2.htm" TargetMode="External"/><Relationship Id="rId4" Type="http://schemas.openxmlformats.org/officeDocument/2006/relationships/hyperlink" Target="https://www.sec.gov/Archives/edgar/data/1735438/000119312519086735/d690523dex1023.htm" TargetMode="External"/><Relationship Id="rId5" Type="http://schemas.openxmlformats.org/officeDocument/2006/relationships/hyperlink" Target="https://www.sec.gov/Archives/edgar/data/1735438/000110465926048196/mgtx-20260420xex10d1.htm" TargetMode="External"/><Relationship Id="rId6" Type="http://schemas.openxmlformats.org/officeDocument/2006/relationships/hyperlink" Target="https://www.sec.gov/Archives/edgar/data/1735438/000110465926048196/mgtx-20260420xex10d2.htm" TargetMode="External"/><Relationship Id="rId7" Type="http://schemas.openxmlformats.org/officeDocument/2006/relationships/hyperlink" Target="https://www.sec.gov/Archives/edgar/data/1735438/000110465926048196/mgtx-20260420xex10d3.htm" TargetMode="External"/><Relationship Id="rId8" Type="http://schemas.openxmlformats.org/officeDocument/2006/relationships/hyperlink" Target="https://www.sec.gov/Archives/edgar/data/1735438/000110465926080949/mgtx-20260630xex10d1.htm" TargetMode="External"/><Relationship Id="rId9" Type="http://schemas.openxmlformats.org/officeDocument/2006/relationships/hyperlink" Target="https://www.sec.gov/Archives/edgar/data/1735438/000110465926080949/mgtx-20260630xex10d2.htm" TargetMode="External"/><Relationship Id="rId10" Type="http://schemas.openxmlformats.org/officeDocument/2006/relationships/hyperlink" Target="https://www.sec.gov/Archives/edgar/data/1735438/000110465926080949/mgtx-20260630xex10d3.htm" TargetMode="External"/><Relationship Id="rId11" Type="http://schemas.openxmlformats.org/officeDocument/2006/relationships/hyperlink" Target="https://www.sec.gov/Archives/edgar/data/1735438/000110465926060739/mgtx-20260331xex10d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89687</Words>
  <Characters>501822</Characters>
  <CharactersWithSpaces>592915</CharactersWithSpaces>
  <Paragraphs>8444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