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252026_010952.xml.htm"/>
      <w:bookmarkStart w:id="1" w:name="ksform309252026_01095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SEBULSKY ALAN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655 THIRD AVENUE, SUITE 1115</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MeiraGTx Holdings plc</w:t>
              </w:r>
            </w:hyperlink>
            <w:r>
              <w:rPr/>
              <w:t xml:space="preserve"> [ </w:t>
            </w:r>
            <w:r>
              <w:rPr>
                <w:rFonts w:ascii="Times;serif" w:hAnsi="Times;serif"/>
                <w:color w:val="0000FF"/>
                <w:sz w:val="24"/>
                <w:shd w:fill="FFFFFF" w:val="clear"/>
              </w:rPr>
              <w:t>MGTX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9"/>
        <w:gridCol w:w="1958"/>
        <w:gridCol w:w="1159"/>
        <w:gridCol w:w="2659"/>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9"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8"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34,500</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Apothecary Capital LLC</w:t>
            </w:r>
            <w:r>
              <w:rPr>
                <w:rFonts w:ascii="Times;serif" w:hAnsi="Times;serif"/>
                <w:color w:val="008000"/>
                <w:position w:val="7"/>
                <w:sz w:val="16"/>
                <w:sz w:val="20"/>
                <w:shd w:fill="FFFFFF" w:val="clear"/>
              </w:rPr>
              <w:t>(1)</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held by Apothecary Capital LLC ("Apothecary Capital"). The Reporting Person is the managing member of Apothecary Capital and may be deemed to share voting, investment and dispositive power with respect to the securities held by Apothecary Capital. The Reporting Person disclaims beneficial ownership of such shares for purposes of Section 16 of the Securities Exchange Act of 1934, as amended (the "Exchange Act"), except to the extent of his pecuniary interest therein, if any. This report shall not be deemed an admission that he is a beneficial owner of such shares for the purpose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Alan Sebulsky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9252026_010953.htm"/>
      <w:bookmarkStart w:id="3" w:name="ksex2409252026_010953"/>
      <w:bookmarkStart w:id="4" w:name="ex24-09252026_010953.htm"/>
      <w:bookmarkStart w:id="5" w:name="ksex2409252026_010953"/>
      <w:bookmarkEnd w:id="4"/>
      <w:bookmarkEnd w:id="5"/>
      <w:r>
        <w:br w:type="page"/>
      </w:r>
    </w:p>
    <w:p>
      <w:pPr>
        <w:pStyle w:val="TextBody"/>
        <w:bidi w:val="0"/>
        <w:spacing w:before="0" w:after="0"/>
        <w:ind w:left="0" w:right="0" w:hanging="0"/>
        <w:jc w:val="center"/>
        <w:rPr>
          <w:b/>
          <w:sz w:val="13"/>
        </w:rPr>
      </w:pPr>
      <w:r>
        <w:rPr>
          <w:b/>
          <w:sz w:val="13"/>
        </w:rPr>
        <w:t>POWER OF ATTORNEY</w:t>
      </w:r>
    </w:p>
    <w:p>
      <w:pPr>
        <w:pStyle w:val="TextBody"/>
        <w:bidi w:val="0"/>
        <w:spacing w:before="0" w:after="0"/>
        <w:ind w:left="0" w:right="0" w:hanging="0"/>
        <w:jc w:val="left"/>
        <w:rPr/>
      </w:pPr>
      <w:r>
        <w:rPr/>
      </w:r>
    </w:p>
    <w:p>
      <w:pPr>
        <w:pStyle w:val="TextBody"/>
        <w:bidi w:val="0"/>
        <w:spacing w:before="0" w:after="0"/>
        <w:ind w:left="0" w:right="0" w:firstLine="720"/>
        <w:jc w:val="both"/>
        <w:rPr/>
      </w:pPr>
      <w:r>
        <w:rPr/>
        <w:t>With respect to holdings of and transactions in securities issued by MeiraGTx Holdings plc (the </w:t>
      </w:r>
      <w:r>
        <w:rPr>
          <w:b/>
          <w:i/>
        </w:rPr>
        <w:t>Company</w:t>
      </w:r>
      <w:r>
        <w:rPr/>
        <w:t xml:space="preserve">), the undersigned hereby constitutes and appoints the individuals named on </w:t>
      </w:r>
      <w:r>
        <w:rPr>
          <w:u w:val="single"/>
        </w:rPr>
        <w:t>Schedule A</w:t>
      </w:r>
      <w:r>
        <w:rPr/>
        <w:t xml:space="preserve"> attached hereto and as may be amended from time to time, or any of them signing singly, with full power of substitution and resubstitution, to act as the undersigneds true and lawful attorney-in-fact to: </w:t>
      </w:r>
    </w:p>
    <w:p>
      <w:pPr>
        <w:pStyle w:val="TextBody"/>
        <w:bidi w:val="0"/>
        <w:spacing w:before="0" w:after="0"/>
        <w:ind w:left="0" w:right="0" w:hanging="0"/>
        <w:jc w:val="both"/>
        <w:rPr/>
      </w:pPr>
      <w:r>
        <w:rPr/>
      </w:r>
    </w:p>
    <w:p>
      <w:pPr>
        <w:pStyle w:val="TextBody"/>
        <w:pBdr/>
        <w:bidi w:val="0"/>
        <w:spacing w:before="0" w:after="0"/>
        <w:ind w:left="0" w:right="0" w:hanging="30"/>
        <w:jc w:val="both"/>
        <w:rPr/>
      </w:pPr>
      <w:r>
        <w:rPr/>
        <w:t xml:space="preserve">execute for and on behalf of the undersigned, Forms 3, 4, and 5 in accordance with Section 16 of the Securities Exchange Act of 1934, as amended, and the rules thereunder;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1.        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1.        </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pPr>
      <w:r>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w:t>
                            </w:r>
                            <w:r>
                              <w:rPr/>
                              <w:t xml:space="preserve">2.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r>
                        <w:rPr/>
                        <w:t xml:space="preserve">2. </w:t>
                      </w:r>
                    </w:p>
                  </w:txbxContent>
                </v:textbox>
                <w10:wrap type="square" side="right"/>
              </v:rect>
            </w:pict>
          </mc:Fallback>
        </mc:AlternateContent>
      </w:r>
    </w:p>
    <w:p>
      <w:pPr>
        <w:pStyle w:val="TextBody"/>
        <w:pBdr/>
        <w:bidi w:val="0"/>
        <w:spacing w:before="0" w:after="0"/>
        <w:ind w:left="0" w:right="0" w:hanging="660"/>
        <w:jc w:val="both"/>
        <w:rPr/>
      </w:pPr>
      <w:r>
        <w:rPr/>
        <w:t> </w:t>
      </w:r>
    </w:p>
    <w:p>
      <w:pPr>
        <w:pStyle w:val="TextBody"/>
        <w:pBdr/>
        <w:bidi w:val="0"/>
        <w:spacing w:before="0" w:after="0"/>
        <w:ind w:left="0" w:right="0" w:hanging="30"/>
        <w:jc w:val="both"/>
        <w:rPr/>
      </w:pPr>
      <w:r>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3.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3. </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pPr>
      <w:r>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w:t>
      </w:r>
    </w:p>
    <w:p>
      <w:pPr>
        <w:pStyle w:val="TextBody"/>
        <w:bidi w:val="0"/>
        <w:spacing w:before="0" w:after="0"/>
        <w:ind w:left="0" w:right="0" w:hanging="0"/>
        <w:jc w:val="both"/>
        <w:rPr/>
      </w:pPr>
      <w:r>
        <w:rPr/>
      </w:r>
    </w:p>
    <w:p>
      <w:pPr>
        <w:pStyle w:val="TextBody"/>
        <w:bidi w:val="0"/>
        <w:spacing w:before="0" w:after="0"/>
        <w:ind w:left="0" w:right="0" w:firstLine="720"/>
        <w:jc w:val="both"/>
        <w:rPr/>
      </w:pPr>
      <w:r>
        <w:rPr/>
        <w:t xml:space="preserve">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w:t>
      </w:r>
    </w:p>
    <w:p>
      <w:pPr>
        <w:pStyle w:val="TextBody"/>
        <w:bidi w:val="0"/>
        <w:spacing w:before="0" w:after="0"/>
        <w:ind w:left="0" w:right="0" w:hanging="0"/>
        <w:jc w:val="both"/>
        <w:rPr/>
      </w:pPr>
      <w:r>
        <w:rPr/>
      </w:r>
    </w:p>
    <w:p>
      <w:pPr>
        <w:pStyle w:val="TextBody"/>
        <w:bidi w:val="0"/>
        <w:spacing w:before="0" w:after="0"/>
        <w:ind w:left="0" w:right="0" w:firstLine="720"/>
        <w:jc w:val="both"/>
        <w:rPr/>
      </w:pPr>
      <w:r>
        <w:rPr/>
        <w:t xml:space="preserve">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w:t>
      </w:r>
    </w:p>
    <w:p>
      <w:pPr>
        <w:pStyle w:val="TextBody"/>
        <w:bidi w:val="0"/>
        <w:spacing w:before="0" w:after="0"/>
        <w:ind w:left="0" w:right="0" w:firstLine="720"/>
        <w:jc w:val="both"/>
        <w:rPr/>
      </w:pPr>
      <w:r>
        <w:rPr/>
        <w:br/>
        <w:t>IN WITNESS WHEREOF, the undersigned has caused this Power of Attorney to be executed as of this 23rd day of September,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pPr>
      <w:r>
        <w:rPr/>
        <w:t>Signature:         </w:t>
      </w:r>
      <w:r>
        <w:rPr>
          <w:u w:val="single"/>
        </w:rPr>
        <w:t>/s/ Alan Sebulsky</w:t>
      </w:r>
      <w:r>
        <w:rPr/>
        <w:t xml:space="preserve"> </w:t>
      </w:r>
    </w:p>
    <w:p>
      <w:pPr>
        <w:pStyle w:val="TextBody"/>
        <w:pBdr/>
        <w:bidi w:val="0"/>
        <w:spacing w:before="0" w:after="0"/>
        <w:ind w:left="0" w:right="0" w:hanging="0"/>
        <w:jc w:val="left"/>
        <w:rPr/>
      </w:pPr>
      <w:r>
        <w:rPr/>
        <w:t>Print Name:      Alan Sebulsky</w:t>
      </w:r>
    </w:p>
    <w:p>
      <w:pPr>
        <w:pStyle w:val="TextBody"/>
        <w:bidi w:val="0"/>
        <w:spacing w:before="0" w:after="0"/>
        <w:ind w:left="0" w:right="0" w:hanging="0"/>
        <w:jc w:val="center"/>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0"/>
        <w:jc w:val="center"/>
        <w:rPr>
          <w:b/>
          <w:u w:val="single"/>
        </w:rPr>
      </w:pPr>
      <w:r>
        <w:rPr>
          <w:b/>
          <w:u w:val="single"/>
        </w:rPr>
        <w:t xml:space="preserve">Schedule A </w:t>
      </w:r>
    </w:p>
    <w:p>
      <w:pPr>
        <w:pStyle w:val="TextBody"/>
        <w:bidi w:val="0"/>
        <w:spacing w:before="0" w:after="0"/>
        <w:ind w:left="0" w:right="0" w:hanging="0"/>
        <w:jc w:val="center"/>
        <w:rPr/>
      </w:pPr>
      <w:r>
        <w:rPr/>
      </w:r>
    </w:p>
    <w:p>
      <w:pPr>
        <w:pStyle w:val="TextBody"/>
        <w:bidi w:val="0"/>
        <w:spacing w:before="0" w:after="0"/>
        <w:ind w:left="0" w:right="0" w:hanging="0"/>
        <w:jc w:val="center"/>
        <w:rPr/>
      </w:pPr>
      <w:r>
        <w:rPr/>
        <w:t xml:space="preserve">Individuals Appointed as Attorney-in-Fact with Full Power of Substitution and Resubstitution </w:t>
      </w:r>
    </w:p>
    <w:p>
      <w:pPr>
        <w:pStyle w:val="TextBody"/>
        <w:bidi w:val="0"/>
        <w:spacing w:before="0" w:after="0"/>
        <w:ind w:left="0" w:right="0" w:hanging="0"/>
        <w:jc w:val="center"/>
        <w:rPr/>
      </w:pPr>
      <w:r>
        <w:rPr/>
      </w:r>
    </w:p>
    <w:p>
      <w:pPr>
        <w:pStyle w:val="TextBody"/>
        <w:bidi w:val="0"/>
        <w:spacing w:before="0" w:after="0"/>
        <w:ind w:left="0" w:right="0" w:hanging="0"/>
        <w:jc w:val="left"/>
        <w:rPr/>
      </w:pPr>
      <w:r>
        <w:rPr/>
        <w:t xml:space="preserve">Richard Giroux </w:t>
      </w:r>
    </w:p>
    <w:p>
      <w:pPr>
        <w:pStyle w:val="TextBody"/>
        <w:bidi w:val="0"/>
        <w:spacing w:before="0" w:after="0"/>
        <w:ind w:left="0" w:right="0" w:hanging="0"/>
        <w:jc w:val="left"/>
        <w:rPr/>
      </w:pPr>
      <w:r>
        <w:rPr/>
        <w:t>Alexandria Forbes, Ph.D.</w:t>
      </w:r>
    </w:p>
    <w:p>
      <w:pPr>
        <w:pStyle w:val="TextBody"/>
        <w:bidi w:val="0"/>
        <w:spacing w:before="0" w:after="0"/>
        <w:ind w:left="0" w:right="0" w:hanging="0"/>
        <w:jc w:val="left"/>
        <w:rPr/>
      </w:pPr>
      <w:r>
        <w:rPr/>
        <w:t>Robert J. Wollin</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092348" TargetMode="External"/><Relationship Id="rId3" Type="http://schemas.openxmlformats.org/officeDocument/2006/relationships/hyperlink" Target="http://www.sec.gov/cgi-bin/browse-edgar?action=getcompany&amp;CIK=000173543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997</Words>
  <Characters>5245</Characters>
  <CharactersWithSpaces>6201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