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92075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40" w:right="200" w:hanging="432"/>
        <w:spacing w:after="0" w:line="251"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440" w:right="180" w:hanging="432"/>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 w:lineRule="exact"/>
        <w:rPr>
          <w:sz w:val="24"/>
          <w:szCs w:val="24"/>
          <w:color w:val="auto"/>
        </w:rPr>
      </w:pPr>
    </w:p>
    <w:p>
      <w:pPr>
        <w:ind w:left="3140"/>
        <w:spacing w:after="0"/>
        <w:tabs>
          <w:tab w:leader="none" w:pos="59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-3175</wp:posOffset>
            </wp:positionV>
            <wp:extent cx="934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001-38520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90170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MeiraGTx Holdings plc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300"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98-1448305</w:t>
      </w:r>
    </w:p>
    <w:p>
      <w:pPr>
        <w:spacing w:after="0" w:line="7" w:lineRule="exact"/>
        <w:rPr>
          <w:sz w:val="24"/>
          <w:szCs w:val="24"/>
          <w:color w:val="auto"/>
        </w:rPr>
      </w:pPr>
    </w:p>
    <w:p>
      <w:pPr>
        <w:sectPr>
          <w:pgSz w:w="11900" w:h="16838" w:orient="portrait"/>
          <w:cols w:equalWidth="0" w:num="3">
            <w:col w:w="4220" w:space="720"/>
            <w:col w:w="1480" w:space="720"/>
            <w:col w:w="2780"/>
          </w:cols>
          <w:pgMar w:left="980" w:top="661" w:right="99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5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5" w:lineRule="exact"/>
        <w:rPr>
          <w:sz w:val="24"/>
          <w:szCs w:val="24"/>
          <w:color w:val="auto"/>
        </w:rPr>
      </w:pPr>
    </w:p>
    <w:p>
      <w:pPr>
        <w:sectPr>
          <w:pgSz w:w="11900" w:h="16838" w:orient="portrait"/>
          <w:cols w:equalWidth="0" w:num="2">
            <w:col w:w="6220" w:space="720"/>
            <w:col w:w="2980"/>
          </w:cols>
          <w:pgMar w:left="980" w:top="661" w:right="99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655 Third Avenue, Suite 1115</w:t>
      </w:r>
    </w:p>
    <w:p>
      <w:pPr>
        <w:sectPr>
          <w:pgSz w:w="11900" w:h="16838" w:orient="portrait"/>
          <w:cols w:equalWidth="0" w:num="1">
            <w:col w:w="9920"/>
          </w:cols>
          <w:pgMar w:left="980" w:top="661" w:right="999" w:bottom="1440" w:gutter="0" w:footer="0" w:header="0"/>
          <w:type w:val="continuous"/>
        </w:sectPr>
      </w:pPr>
    </w:p>
    <w:p>
      <w:pPr>
        <w:spacing w:after="0" w:line="2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New York, 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10017</w:t>
      </w:r>
    </w:p>
    <w:p>
      <w:pPr>
        <w:spacing w:after="0" w:line="1" w:lineRule="exact"/>
        <w:rPr>
          <w:sz w:val="24"/>
          <w:szCs w:val="24"/>
          <w:color w:val="auto"/>
        </w:rPr>
      </w:pPr>
    </w:p>
    <w:p>
      <w:pPr>
        <w:sectPr>
          <w:pgSz w:w="11900" w:h="16838" w:orient="portrait"/>
          <w:cols w:equalWidth="0" w:num="2">
            <w:col w:w="6600" w:space="720"/>
            <w:col w:w="2600"/>
          </w:cols>
          <w:pgMar w:left="980" w:top="661" w:right="99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63" w:lineRule="exact"/>
        <w:rPr>
          <w:sz w:val="24"/>
          <w:szCs w:val="24"/>
          <w:color w:val="auto"/>
        </w:rPr>
      </w:pPr>
    </w:p>
    <w:p>
      <w:pPr>
        <w:sectPr>
          <w:pgSz w:w="11900" w:h="16838" w:orient="portrait"/>
          <w:cols w:equalWidth="0" w:num="2">
            <w:col w:w="6440" w:space="720"/>
            <w:col w:w="276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(646) 860-7985</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116205</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8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8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9"/>
        </w:trPr>
        <w:tc>
          <w:tcPr>
            <w:tcW w:w="32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Ordinary Shares,</w:t>
            </w: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tcPr>
          <w:p>
            <w:pPr>
              <w:jc w:val="center"/>
              <w:ind w:right="570"/>
              <w:spacing w:after="0" w:line="119" w:lineRule="exact"/>
              <w:rPr>
                <w:sz w:val="20"/>
                <w:szCs w:val="20"/>
                <w:color w:val="auto"/>
              </w:rPr>
            </w:pPr>
            <w:r>
              <w:rPr>
                <w:rFonts w:ascii="Times New Roman" w:cs="Times New Roman" w:eastAsia="Times New Roman" w:hAnsi="Times New Roman"/>
                <w:sz w:val="13"/>
                <w:szCs w:val="13"/>
                <w:color w:val="auto"/>
              </w:rPr>
              <w:t>MGTX</w:t>
            </w:r>
          </w:p>
        </w:tc>
        <w:tc>
          <w:tcPr>
            <w:tcW w:w="1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80" w:type="dxa"/>
            <w:vAlign w:val="bottom"/>
            <w:tcBorders>
              <w:top w:val="single" w:sz="8" w:color="auto"/>
            </w:tcBorders>
          </w:tcPr>
          <w:p>
            <w:pPr>
              <w:jc w:val="center"/>
              <w:ind w:right="250"/>
              <w:spacing w:after="0" w:line="119" w:lineRule="exact"/>
              <w:rPr>
                <w:sz w:val="20"/>
                <w:szCs w:val="20"/>
                <w:color w:val="auto"/>
              </w:rPr>
            </w:pPr>
            <w:r>
              <w:rPr>
                <w:rFonts w:ascii="Times New Roman" w:cs="Times New Roman" w:eastAsia="Times New Roman" w:hAnsi="Times New Roman"/>
                <w:sz w:val="13"/>
                <w:szCs w:val="13"/>
                <w:color w:val="auto"/>
              </w:rPr>
              <w:t>The Nasdaq Global Select Market</w:t>
            </w:r>
          </w:p>
        </w:tc>
        <w:tc>
          <w:tcPr>
            <w:tcW w:w="0" w:type="dxa"/>
            <w:vAlign w:val="bottom"/>
          </w:tcPr>
          <w:p>
            <w:pPr>
              <w:spacing w:after="0"/>
              <w:rPr>
                <w:sz w:val="1"/>
                <w:szCs w:val="1"/>
                <w:color w:val="auto"/>
              </w:rPr>
            </w:pPr>
          </w:p>
        </w:tc>
      </w:tr>
      <w:tr>
        <w:trPr>
          <w:trHeight w:val="188"/>
        </w:trPr>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$0.00003881 par value per share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right="6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30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27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1300" w:space="140"/>
            <w:col w:w="2780" w:space="720"/>
            <w:col w:w="2880" w:space="720"/>
            <w:col w:w="960" w:space="240"/>
            <w:col w:w="180"/>
          </w:cols>
          <w:pgMar w:left="980" w:top="661" w:right="9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1220" w:space="220"/>
            <w:col w:w="5880" w:space="720"/>
            <w:col w:w="1460" w:space="280"/>
            <w:col w:w="140"/>
          </w:cols>
          <w:pgMar w:left="980" w:top="661" w:right="999" w:bottom="1440" w:gutter="0" w:footer="0" w:header="0"/>
          <w:type w:val="continuous"/>
        </w:sectPr>
      </w:pPr>
    </w:p>
    <w:p>
      <w:pPr>
        <w:spacing w:after="0" w:line="3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6" w:lineRule="exact"/>
        <w:rPr>
          <w:sz w:val="24"/>
          <w:szCs w:val="24"/>
          <w:color w:val="auto"/>
        </w:rPr>
      </w:pPr>
    </w:p>
    <w:p>
      <w:pPr>
        <w:sectPr>
          <w:pgSz w:w="11900" w:h="16838" w:orient="portrait"/>
          <w:cols w:equalWidth="0" w:num="2">
            <w:col w:w="9640" w:space="140"/>
            <w:col w:w="140"/>
          </w:cols>
          <w:pgMar w:left="980" w:top="661" w:right="999" w:bottom="1440" w:gutter="0" w:footer="0" w:header="0"/>
          <w:type w:val="continuous"/>
        </w:sectPr>
      </w:pPr>
    </w:p>
    <w:p>
      <w:pPr>
        <w:ind w:right="100" w:firstLine="441"/>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60" w:right="940" w:hanging="206"/>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8, 2026, the registrant had 92,609,516 ordinary shares, $0.00003881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681355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219075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261620</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“Form 10-Q”) contains forward-looking statements within the meaning of the Private Securities Litigation Reform Act of 1995. All statements contained in this Form 10-Q that do not relate to matters of historical fact should be considered forward-looking statements, including, without limitation, statements regarding expectations regarding meetings with global regulatory authorities and the FDA, product pipeline, anticipated product benefits, goals and strategic transactions or priorities, product candidate development and status and expectations relating to clinical trials, growth expectations or targets, pre-clinical and clinical data expectations in respect of collaborations and expectations related to financing arrangements and the intended use of proceeds thereunder, as well as statements that include the words “expect,” “will,” “intend,” “plan,” “believe,” “project,” “forecast,” “estimate,” “may,” “could,” “should,” “would,” “continue,” “anticipate”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the important factors discussed under “Item 1A. Risk Factors” in this Form 10-Q. These and other important factors could cause actual results to differ materially from those indicated by the forward-looking statements made in this Form 10-Q. Any such forward-looking statements represent management’s estimates as of the date of this Form 10-Q. While we may elect to update such forward-looking statements at some point in the future, unless required by law, we disclaim any obligation to do so, even if subsequent events cause our views to change. Thus, one should not assume that our silence over time means that actual events are bearing out as expressed or implied in such forward-looking statements. These forward-looking statements should not be relied upon as representing our views as of any date subsequent to the date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providing the following summary of the principal risk factors contained in this Form 10-Q to enhance the readability and accessibility of our risk factor disclosures. We encourage you to carefully review in their entirety the full risk factors set forth in the section of this Form 10-Q captioned “Part II—Item 1A. Risk Factors” for additional information regarding the material factors that make an investment in our ordinary shares speculative or risky. These risks and uncertainties include, among others, the following:</w:t>
      </w:r>
    </w:p>
    <w:p>
      <w:pPr>
        <w:spacing w:after="0" w:line="183" w:lineRule="exact"/>
        <w:rPr>
          <w:sz w:val="20"/>
          <w:szCs w:val="20"/>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anticipate that we will incur continued losses for the foreseeable future, and may never achieve or maintain profitability.</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 which may not be available on acceptable terms, if at all.</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cash flows or cash on hand to satisfy our debt obligations or covenants under our financing arrangements, or we may not be able to effectively manage our business in compliance with such covenants.</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1"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review of potential strategic transactions may not result in an executed or consummated transaction or other strategic alternative and may not result in anticipated benefits to us or our shareholders, and the process of reviewing strategic transactions or its conclusion could be disruptive and distracting to our business operations and management.</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the success of our product candidates, which are still in development, and if none of them receive regulatory approval or are successfully commercialized, our business may be harmed.</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to predict the time and cost of product candidate development on our novel gene therapy platform. A limited number of gene therapies have been approved in the United States or in Europe.</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uncertain and may change, we cannot predict the time and cost of obtaining regulatory approval, if we receive it at all, for any product candidates we may develop.</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time-consuming, difficult to design and implement, and involve an uncertain outcome. Further, we may encounter substantial delays in our clinical trials.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our product candidates may be smaller than we or third parties currently project, which may affect the addressable markets for our product candidates.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for plasmid are subject to significant regulation with respect to manufacturing our products. Our manufacturing facilities and the third-party manufacturing facilities which we rely on may not continue to meet regulatory requirements and have limited capacity.</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healthcare legislation may increase the difficulty and cost for us to obtain marketing approval of and commercialize our product candidates and may affect the prices we may set.</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and other legal obligations relating to data privacy and protection. Compliance with these requirements is complex and costly. The actual or perceived failure to comply with such obligations could materially harm our business.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there is a possibility that our competitors may achieve regulatory approval before us or develop therapies that 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spacing w:after="0" w:line="282" w:lineRule="auto"/>
        <w:rPr>
          <w:sz w:val="20"/>
          <w:szCs w:val="20"/>
          <w:color w:val="auto"/>
        </w:rPr>
      </w:pPr>
      <w:r>
        <w:rPr>
          <w:rFonts w:ascii="Times New Roman" w:cs="Times New Roman" w:eastAsia="Times New Roman" w:hAnsi="Times New Roman"/>
          <w:sz w:val="18"/>
          <w:szCs w:val="18"/>
          <w:color w:val="auto"/>
        </w:rPr>
        <w:t>safer or more advanced or effective than ours, which may harm our financial condition and our ability to successfully market or commercialize any product candidates we may develop.</w:t>
      </w:r>
    </w:p>
    <w:p>
      <w:pPr>
        <w:spacing w:after="0" w:line="162" w:lineRule="exact"/>
        <w:rPr>
          <w:sz w:val="20"/>
          <w:szCs w:val="20"/>
          <w:color w:val="auto"/>
        </w:rPr>
      </w:pPr>
    </w:p>
    <w:p>
      <w:pPr>
        <w:jc w:val="both"/>
        <w:ind w:left="1380" w:right="7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proprietary technology licensed from others. If we lose our existing licenses or are unable to acquire or license additional proprietary rights from third parties, we may not be able to continue developing our product candidates.</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and product candidates or if the scope of the patent protection obtained is not sufficiently broad, we may not be able to compete effectively in our markets.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increase or decrease the size of our organization, and we may experience difficulties in managing these organizational changes, which could disrupt our operations.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key personnel and to attract, retain and motivate qualified personnel.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Notes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Form 10-Q to “Meira,” “MeiraGTx,” “we,” “us”, “our” or “the Company” refer to MeiraGTx Holdings plc and its subsidiaries.</w:t>
      </w:r>
    </w:p>
    <w:p>
      <w:pPr>
        <w:spacing w:after="0" w:line="162"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 xml:space="preserve">We have proprietary rights to trademarks, trade names and service marks appearing in this Form 10-Q that are important to our business. Solely for convenience, the trademarks, trade names and service marks may appear in this Form 10-Q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TM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0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8180" w:type="dxa"/>
            <w:vAlign w:val="bottom"/>
            <w:gridSpan w:val="22"/>
            <w:vMerge w:val="continue"/>
          </w:tcPr>
          <w:p>
            <w:pPr>
              <w:spacing w:after="0"/>
              <w:rPr>
                <w:sz w:val="13"/>
                <w:szCs w:val="13"/>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Balance Sheets</w:t>
            </w:r>
          </w:p>
        </w:tc>
        <w:tc>
          <w:tcPr>
            <w:tcW w:w="4500" w:type="dxa"/>
            <w:vAlign w:val="bottom"/>
            <w:gridSpan w:val="9"/>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Shareholders’ Deficit</w:t>
            </w:r>
          </w:p>
        </w:tc>
        <w:tc>
          <w:tcPr>
            <w:tcW w:w="1920" w:type="dxa"/>
            <w:vAlign w:val="bottom"/>
            <w:gridSpan w:val="3"/>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 of Shareholders’ Equity</w:t>
            </w:r>
          </w:p>
        </w:tc>
        <w:tc>
          <w:tcPr>
            <w:tcW w:w="3100" w:type="dxa"/>
            <w:vAlign w:val="bottom"/>
            <w:gridSpan w:val="5"/>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600" w:type="dxa"/>
            <w:vAlign w:val="bottom"/>
            <w:tcBorders>
              <w:top w:val="single" w:sz="8" w:color="0000EE"/>
            </w:tcBorders>
            <w:gridSpan w:val="2"/>
          </w:tcPr>
          <w:p>
            <w:pPr>
              <w:spacing w:after="0"/>
              <w:rPr>
                <w:sz w:val="17"/>
                <w:szCs w:val="17"/>
                <w:color w:val="auto"/>
              </w:rPr>
            </w:pPr>
          </w:p>
        </w:tc>
        <w:tc>
          <w:tcPr>
            <w:tcW w:w="3120" w:type="dxa"/>
            <w:vAlign w:val="bottom"/>
            <w:gridSpan w:val="6"/>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440" w:type="dxa"/>
            <w:vAlign w:val="bottom"/>
            <w:gridSpan w:val="7"/>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Use of Proceeds and Issuer Purchases of Equity Securities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4800" w:type="dxa"/>
            <w:vAlign w:val="bottom"/>
            <w:gridSpan w:val="11"/>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120" w:type="dxa"/>
            <w:vAlign w:val="bottom"/>
            <w:gridSpan w:val="1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40" w:type="dxa"/>
            <w:vAlign w:val="bottom"/>
            <w:gridSpan w:val="2"/>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 and per share amounts)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708"/>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9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2600" w:type="dxa"/>
            <w:vAlign w:val="bottom"/>
            <w:tcBorders>
              <w:top w:val="single" w:sz="8" w:color="CCEEFF"/>
            </w:tcBorders>
            <w:gridSpan w:val="3"/>
            <w:shd w:val="clear" w:color="auto" w:fill="CCEEFF"/>
          </w:tcPr>
          <w:p>
            <w:pPr>
              <w:jc w:val="center"/>
              <w:ind w:right="2080"/>
              <w:spacing w:after="0" w:line="129" w:lineRule="exact"/>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520" w:type="dxa"/>
            <w:vAlign w:val="bottom"/>
            <w:tcBorders>
              <w:top w:val="single" w:sz="8" w:color="auto"/>
            </w:tcBorders>
          </w:tcPr>
          <w:p>
            <w:pPr>
              <w:spacing w:after="0"/>
              <w:rPr>
                <w:sz w:val="12"/>
                <w:szCs w:val="12"/>
                <w:color w:val="auto"/>
              </w:rPr>
            </w:pPr>
          </w:p>
        </w:tc>
        <w:tc>
          <w:tcPr>
            <w:tcW w:w="208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CCEEFF"/>
            </w:tcBorders>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gridSpan w:val="2"/>
            <w:shd w:val="clear" w:color="auto" w:fill="CCEEFF"/>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71,541</w:t>
            </w:r>
          </w:p>
        </w:tc>
        <w:tc>
          <w:tcPr>
            <w:tcW w:w="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Tax incentive receivable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96,201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91,761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102,573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method and other investments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6,749</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 operating leases, net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 finance leases, net</w:t>
            </w:r>
          </w:p>
        </w:tc>
        <w:tc>
          <w:tcPr>
            <w:tcW w:w="2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22,831</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00" w:type="dxa"/>
            <w:vAlign w:val="bottom"/>
            <w:tcBorders>
              <w:bottom w:val="single" w:sz="8" w:color="CCEEFF"/>
            </w:tcBorders>
            <w:gridSpan w:val="5"/>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244,655</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244,430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2940" w:type="dxa"/>
            <w:vAlign w:val="bottom"/>
            <w:tcBorders>
              <w:bottom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4"/>
                <w:szCs w:val="14"/>
                <w:color w:val="auto"/>
              </w:rPr>
              <w:t>LIABILITIES AND SHAREHOLDERS' EQUITY</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70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gridSpan w:val="2"/>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16,658</w:t>
            </w: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25,239</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Lease obligations - operating leases, current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obligations - finance leases, current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Deferred revenue - related party, current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 payable, net, current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105,108</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50,283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5"/>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176,127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122,555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Deferred revenue - related party</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obligations - operating leases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Lease obligations - finance leases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 retirement obligations</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Note payable, net</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49,699</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49,689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5"/>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302,785</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470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COMMITMENTS AND CONTINGENCIES (Note 12)</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DEFICIT: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70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Ordinary Shares, $0.00003881 par value, 1,288,327,750 authorized, 81,446,126</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and 81,120,931 shares issued and outstanding at March 31, 2026 and December</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31, 2025, respectively</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in excess of par value</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820,018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Treasury shares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gain</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(862,536)</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(816,223)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5"/>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Shareholders' Deficit</w:t>
            </w:r>
          </w:p>
        </w:tc>
        <w:tc>
          <w:tcPr>
            <w:tcW w:w="2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(58,130)</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 AND SHAREHOLDERS' DEFICIT</w:t>
            </w:r>
          </w:p>
        </w:tc>
        <w:tc>
          <w:tcPr>
            <w:tcW w:w="200" w:type="dxa"/>
            <w:vAlign w:val="bottom"/>
          </w:tcPr>
          <w:p>
            <w:pPr>
              <w:spacing w:after="0"/>
              <w:rPr>
                <w:sz w:val="12"/>
                <w:szCs w:val="12"/>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244,655</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 and per share amounts)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color w:val="auto"/>
              </w:rPr>
              <w:t>For the Three-Month Periods Ended March 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651"/>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gridSpan w:val="2"/>
          </w:tcPr>
          <w:p>
            <w:pPr>
              <w:jc w:val="right"/>
              <w:ind w:right="376"/>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 related party</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service revenue - related party</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adjusted net loss per ordinary share</w:t>
            </w:r>
          </w:p>
        </w:tc>
        <w:tc>
          <w:tcPr>
            <w:tcW w:w="4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260" w:type="dxa"/>
            <w:vAlign w:val="bottom"/>
            <w:vMerge w:val="continue"/>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ordinary shares outstanding</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81,300,944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79,032,341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PERIOD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 amounts)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9"/>
              </w:rPr>
              <w:t>Accumulated Other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Ordinary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w w:val="96"/>
              </w:rPr>
              <w:t>Capital in Excess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98"/>
              </w:rPr>
              <w:t>Comprehensive</w:t>
            </w:r>
          </w:p>
        </w:tc>
        <w:tc>
          <w:tcPr>
            <w:tcW w:w="7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7"/>
              </w:rPr>
              <w:t>Shareholders'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ind w:left="32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Shares</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Amount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7"/>
              </w:rPr>
              <w:t>of Par Value</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Treasury Shares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Gain</w:t>
            </w:r>
          </w:p>
        </w:tc>
        <w:tc>
          <w:tcPr>
            <w:tcW w:w="24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Deficit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8"/>
              </w:rPr>
              <w:t>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3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at December 31, 2025</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81,120,931</w:t>
            </w:r>
          </w:p>
        </w:tc>
        <w:tc>
          <w:tcPr>
            <w:tcW w:w="280" w:type="dxa"/>
            <w:vAlign w:val="bottom"/>
            <w:gridSpan w:val="2"/>
            <w:shd w:val="clear" w:color="auto" w:fill="CCEEFF"/>
          </w:tcPr>
          <w:p>
            <w:pPr>
              <w:jc w:val="right"/>
              <w:ind w:right="73"/>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808,021</w:t>
            </w:r>
          </w:p>
        </w:tc>
        <w:tc>
          <w:tcPr>
            <w:tcW w:w="360" w:type="dxa"/>
            <w:vAlign w:val="bottom"/>
            <w:gridSpan w:val="2"/>
            <w:shd w:val="clear" w:color="auto" w:fill="CCEE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2,406</w:t>
            </w:r>
          </w:p>
        </w:tc>
        <w:tc>
          <w:tcPr>
            <w:tcW w:w="240" w:type="dxa"/>
            <w:vAlign w:val="bottom"/>
            <w:gridSpan w:val="2"/>
            <w:shd w:val="clear" w:color="auto" w:fill="CCEEFF"/>
          </w:tcPr>
          <w:p>
            <w:pPr>
              <w:jc w:val="right"/>
              <w:ind w:right="13"/>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(816,223)</w:t>
            </w:r>
          </w:p>
        </w:tc>
        <w:tc>
          <w:tcPr>
            <w:tcW w:w="1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(5,793)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activity</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824,466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(2,244)</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 in at-the-market offering</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1,770,729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14,027</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costs in connection with ordinary shares</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treasury shares</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(18,193)</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(18,193)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 in connection with license agreement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249</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gain</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 for the three-month period ended March 31, 2026</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(46,313)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(46,313)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March 31, 2026</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81,446,126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820,018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(18,193)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2,578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(862,536)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(58,130)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PERIOD ENDED 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 amounts)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9"/>
              </w:rPr>
              <w:t>Accumulated Other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Ordinary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color w:val="auto"/>
                <w:w w:val="96"/>
              </w:rPr>
              <w:t>Capital in Excess</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98"/>
              </w:rPr>
              <w:t>Comprehensive</w:t>
            </w:r>
          </w:p>
        </w:tc>
        <w:tc>
          <w:tcPr>
            <w:tcW w:w="7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7"/>
              </w:rPr>
              <w:t>Shareholders'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ind w:left="32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Shares</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Amount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7"/>
              </w:rPr>
              <w:t>of Par Value</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Treasury Shares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Loss</w:t>
            </w:r>
          </w:p>
        </w:tc>
        <w:tc>
          <w:tcPr>
            <w:tcW w:w="24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Deficit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5"/>
              </w:rPr>
              <w:t>Equity</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3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at December 31, 2024</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78,397,380</w:t>
            </w:r>
          </w:p>
        </w:tc>
        <w:tc>
          <w:tcPr>
            <w:tcW w:w="280" w:type="dxa"/>
            <w:vAlign w:val="bottom"/>
            <w:gridSpan w:val="2"/>
            <w:shd w:val="clear" w:color="auto" w:fill="CCEEFF"/>
          </w:tcPr>
          <w:p>
            <w:pPr>
              <w:jc w:val="right"/>
              <w:ind w:right="73"/>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773,565</w:t>
            </w:r>
          </w:p>
        </w:tc>
        <w:tc>
          <w:tcPr>
            <w:tcW w:w="460" w:type="dxa"/>
            <w:vAlign w:val="bottom"/>
            <w:gridSpan w:val="2"/>
            <w:shd w:val="clear" w:color="auto" w:fill="CCEEFF"/>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(3,719)</w:t>
            </w:r>
          </w:p>
        </w:tc>
        <w:tc>
          <w:tcPr>
            <w:tcW w:w="240" w:type="dxa"/>
            <w:vAlign w:val="bottom"/>
            <w:gridSpan w:val="2"/>
            <w:shd w:val="clear" w:color="auto" w:fill="CCEEFF"/>
          </w:tcPr>
          <w:p>
            <w:pPr>
              <w:jc w:val="right"/>
              <w:ind w:right="13"/>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(702,022)</w:t>
            </w:r>
          </w:p>
        </w:tc>
        <w:tc>
          <w:tcPr>
            <w:tcW w:w="1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67,827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activity</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457,679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2,130</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 in at-the-market offering</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563,379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4,482</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costs in connection with ordinary shares</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(1,347)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 for the three-month period ended March 31, 2025</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(39,981)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(39,981)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March 31, 2025</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79,418,438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780,165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ind w:left="2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(5,066)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(742,003)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MEIRAGTX HOLDINGS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vMerge w:val="restart"/>
          </w:tcPr>
          <w:p>
            <w:pPr>
              <w:ind w:left="5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600" w:type="dxa"/>
            <w:vAlign w:val="bottom"/>
            <w:gridSpan w:val="7"/>
          </w:tcPr>
          <w:p>
            <w:pPr>
              <w:ind w:left="420"/>
              <w:spacing w:after="0"/>
              <w:rPr>
                <w:sz w:val="20"/>
                <w:szCs w:val="20"/>
                <w:color w:val="auto"/>
              </w:rPr>
            </w:pPr>
            <w:r>
              <w:rPr>
                <w:rFonts w:ascii="Times New Roman" w:cs="Times New Roman" w:eastAsia="Times New Roman" w:hAnsi="Times New Roman"/>
                <w:sz w:val="14"/>
                <w:szCs w:val="14"/>
                <w:color w:val="auto"/>
              </w:rPr>
              <w:t>For the Three-Month Periods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3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95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(46,313)</w:t>
            </w:r>
          </w:p>
        </w:tc>
        <w:tc>
          <w:tcPr>
            <w:tcW w:w="600" w:type="dxa"/>
            <w:vAlign w:val="bottom"/>
            <w:gridSpan w:val="3"/>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currency loss (gain)</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right-of-use assets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on termination of lease liabilities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(gain) on disposal of equipment, furniture and fixtures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interest on asset retirement obligations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discount</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assets: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Contract assets - related party</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Tax incentive receivable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liabilities: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55,603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 - related party</w:t>
            </w:r>
          </w:p>
        </w:tc>
        <w:tc>
          <w:tcPr>
            <w:tcW w:w="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17,810</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plant and equipment</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in-process research and development assets</w:t>
            </w:r>
          </w:p>
        </w:tc>
        <w:tc>
          <w:tcPr>
            <w:tcW w:w="4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(2,258)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share options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of withholdings on shares withheld for income taxes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on lease obligations - financing leases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the issuance of ordinary shares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costs in connection with ordinary shares</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 for treasury shares</w:t>
            </w:r>
          </w:p>
        </w:tc>
        <w:tc>
          <w:tcPr>
            <w:tcW w:w="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4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4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68,193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73,758</w:t>
            </w:r>
          </w:p>
        </w:tc>
        <w:tc>
          <w:tcPr>
            <w:tcW w:w="240" w:type="dxa"/>
            <w:vAlign w:val="bottom"/>
            <w:tcBorders>
              <w:bottom w:val="single" w:sz="8" w:color="CCEEFF"/>
            </w:tcBorders>
            <w:gridSpan w:val="2"/>
          </w:tcPr>
          <w:p>
            <w:pPr>
              <w:spacing w:after="0"/>
              <w:rPr>
                <w:sz w:val="15"/>
                <w:szCs w:val="15"/>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68,610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transactions: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Fixed asset acquisitions included in accounts payable and accrued expenses</w:t>
            </w:r>
          </w:p>
        </w:tc>
        <w:tc>
          <w:tcPr>
            <w:tcW w:w="1120" w:type="dxa"/>
            <w:vAlign w:val="bottom"/>
            <w:gridSpan w:val="2"/>
            <w:shd w:val="clear" w:color="auto" w:fill="CCEEFF"/>
          </w:tcPr>
          <w:p>
            <w:pPr>
              <w:jc w:val="right"/>
              <w:ind w:right="95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600" w:type="dxa"/>
            <w:vAlign w:val="bottom"/>
            <w:gridSpan w:val="3"/>
            <w:shd w:val="clear" w:color="auto" w:fill="CCEEFF"/>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Change in estimate of asset retirement obligation</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vMerge w:val="continue"/>
          </w:tcPr>
          <w:p>
            <w:pPr>
              <w:spacing w:after="0"/>
              <w:rPr>
                <w:sz w:val="14"/>
                <w:szCs w:val="14"/>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260" w:type="dxa"/>
            <w:vAlign w:val="bottom"/>
            <w:shd w:val="clear" w:color="auto" w:fill="CCEEFF"/>
          </w:tcPr>
          <w:p>
            <w:pPr>
              <w:ind w:left="80"/>
              <w:spacing w:after="0" w:line="79" w:lineRule="exact"/>
              <w:rPr>
                <w:sz w:val="20"/>
                <w:szCs w:val="20"/>
                <w:color w:val="auto"/>
              </w:rPr>
            </w:pPr>
            <w:r>
              <w:rPr>
                <w:rFonts w:ascii="Times New Roman" w:cs="Times New Roman" w:eastAsia="Times New Roman" w:hAnsi="Times New Roman"/>
                <w:sz w:val="9"/>
                <w:szCs w:val="9"/>
                <w:color w:val="auto"/>
              </w:rPr>
              <w:t>Issuance of shares in connection with acquisition of in-process research and</w:t>
            </w:r>
          </w:p>
        </w:tc>
        <w:tc>
          <w:tcPr>
            <w:tcW w:w="1120" w:type="dxa"/>
            <w:vAlign w:val="bottom"/>
            <w:gridSpan w:val="2"/>
            <w:vMerge w:val="restart"/>
            <w:shd w:val="clear" w:color="auto" w:fill="CCEEFF"/>
          </w:tcPr>
          <w:p>
            <w:pPr>
              <w:jc w:val="right"/>
              <w:ind w:right="957"/>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600" w:type="dxa"/>
            <w:vAlign w:val="bottom"/>
            <w:gridSpan w:val="3"/>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4"/>
                <w:szCs w:val="14"/>
                <w:color w:val="auto"/>
              </w:rPr>
              <w:t>development asset</w:t>
            </w:r>
          </w:p>
        </w:tc>
        <w:tc>
          <w:tcPr>
            <w:tcW w:w="112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Receivable from sale of fixed assets included in other current assets</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bottom w:val="single" w:sz="8" w:color="CCEEFF"/>
            </w:tcBorders>
            <w:gridSpan w:val="2"/>
            <w:vMerge w:val="continue"/>
          </w:tcPr>
          <w:p>
            <w:pPr>
              <w:spacing w:after="0"/>
              <w:rPr>
                <w:sz w:val="14"/>
                <w:szCs w:val="14"/>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120" w:type="dxa"/>
            <w:vAlign w:val="bottom"/>
            <w:gridSpan w:val="2"/>
          </w:tcPr>
          <w:p>
            <w:pPr>
              <w:jc w:val="right"/>
              <w:ind w:right="95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w:t>
            </w:r>
          </w:p>
        </w:tc>
        <w:tc>
          <w:tcPr>
            <w:tcW w:w="600" w:type="dxa"/>
            <w:vAlign w:val="bottom"/>
            <w:gridSpan w:val="3"/>
          </w:tcPr>
          <w:p>
            <w:pPr>
              <w:jc w:val="right"/>
              <w:ind w:right="2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MEIRAGTX HOLDINGS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500" w:right="5519" w:hanging="450"/>
        <w:spacing w:after="0" w:line="503" w:lineRule="auto"/>
        <w:tabs>
          <w:tab w:leader="none" w:pos="51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b w:val="1"/>
          <w:bCs w:val="1"/>
          <w:i w:val="1"/>
          <w:iCs w:val="1"/>
          <w:color w:val="auto"/>
        </w:rPr>
        <w:t>The Company</w:t>
      </w:r>
    </w:p>
    <w:p>
      <w:pPr>
        <w:jc w:val="both"/>
        <w:ind w:left="500" w:right="5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MeiraGTx Holdings plc and subsidiaries (the “Company” or “Meira Holdings”), an exempted company incorporated under the laws of the Cayman Islands, is a vertically integrated, clinical-stage genetic medicines company with a broad pipeline of four late-stage clinical programs Each of these programs uses local delivery of small doses, resulting in disease-modifying effects in both inherited and more common diseases, in the eye, Parkinson’s disease and radiation-induced xerostomia. The Company uses its innovative technology in optimization of capsids, promoters, and novel translational control elements to develop best-in-class, potent, safe viral vectors. The Company’s broad pipeline is supported by end-to-end in-house manufacturing. The Company has built the most comprehensive manufacturing capabilities in the industry, including two that are licensed for good manufacturing practices (“GMP”) viral vector production and a GMP Quality Control facility with clinical and commercial licensure. In addition, the Company has developed a proprietary manufacturing platform process over 9 years based on more than 20 different viral vectors with leading yield and quality aspects and commercial readiness. Uniquely, the Company has developed a novel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any biologic therapeutic using oral small molecules. This transformative riboswitch gene regulation platform technology allows precise, dose-responsive expression of gene expression by oral small molecules. The Company is focusing the riboswitch platform on regulated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metabolic peptides, including GLP-1, GIP, glucagon, amylin, PYY and leptin, as well as cell therapy, CAR-T for liquid and solid tumors and autoimmune diseases, and additionally, PNS targets addressing long-term intractable pain. The Company has developed the technology to apply genetic medicine to common diseases, increasing efficacy, addressing novel targets, and expanding access in some of the largest disease areas where the unmet need remains high.</w:t>
      </w:r>
    </w:p>
    <w:p>
      <w:pPr>
        <w:spacing w:after="0" w:line="186"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Asset Purchase and Related Agreements with Janssen Pharmaceuticals, Inc.</w:t>
      </w:r>
    </w:p>
    <w:p>
      <w:pPr>
        <w:spacing w:after="0" w:line="229" w:lineRule="exact"/>
        <w:rPr>
          <w:rFonts w:ascii="Times New Roman" w:cs="Times New Roman" w:eastAsia="Times New Roman" w:hAnsi="Times New Roman"/>
          <w:sz w:val="18"/>
          <w:szCs w:val="18"/>
          <w:b w:val="1"/>
          <w:bCs w:val="1"/>
          <w:color w:val="auto"/>
        </w:rPr>
      </w:pPr>
    </w:p>
    <w:p>
      <w:pPr>
        <w:jc w:val="both"/>
        <w:ind w:left="500" w:right="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April 15, 2026 (the “Janssen Closing Date”), the Company and Meira Ocular (collectively, the “Buyer”), entered into and consummated an Asset Purchase Agreement (the “Asset Purchase Agreement”) with Janssen Pharmaceuticals, Inc., a Pennsylvania corporation (“Seller” or “Janssen”), pursuant to which Seller sold and assigned to Buyer, and Buyer purchased and assumed, that certain License Agreement, dated February 5, 2019, by and between UCLB Business Plc (now UCL Business Ltd.) and Janssen (the “UCLB License Agreement”), relating to the research, development, manufacture and exploitation of Seller’s gene therapy product for the treatment of X-linked retinitis pigmentosa associated with mutations in the </w:t>
      </w:r>
      <w:r>
        <w:rPr>
          <w:rFonts w:ascii="Times New Roman" w:cs="Times New Roman" w:eastAsia="Times New Roman" w:hAnsi="Times New Roman"/>
          <w:sz w:val="18"/>
          <w:szCs w:val="18"/>
          <w:i w:val="1"/>
          <w:iCs w:val="1"/>
          <w:color w:val="auto"/>
        </w:rPr>
        <w:t>RPGR</w:t>
      </w:r>
      <w:r>
        <w:rPr>
          <w:rFonts w:ascii="Times New Roman" w:cs="Times New Roman" w:eastAsia="Times New Roman" w:hAnsi="Times New Roman"/>
          <w:sz w:val="18"/>
          <w:szCs w:val="18"/>
          <w:color w:val="auto"/>
        </w:rPr>
        <w:t xml:space="preserve"> gene (the “RPGR Product”), and other related assets as described in the Asset Purchase Agreement.</w:t>
      </w:r>
    </w:p>
    <w:p>
      <w:pPr>
        <w:spacing w:after="0" w:line="191" w:lineRule="exact"/>
        <w:rPr>
          <w:rFonts w:ascii="Times New Roman" w:cs="Times New Roman" w:eastAsia="Times New Roman" w:hAnsi="Times New Roman"/>
          <w:sz w:val="18"/>
          <w:szCs w:val="18"/>
          <w:b w:val="1"/>
          <w:bCs w:val="1"/>
          <w:color w:val="auto"/>
        </w:rPr>
      </w:pPr>
    </w:p>
    <w:p>
      <w:pPr>
        <w:jc w:val="both"/>
        <w:ind w:left="500" w:right="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Buyer agreed to pay an upfront cash purchase price of $25.0 million to Seller. Additionally, pursuant to and subject to the terms and conditions set forth in the Asset Purchase Agreement, Buyer agreed to pay Seller a one-time, future contingent consideration of $50.0 million upon both of the following milestones being achieved: (i) Buyer’s or its affiliates’ receipt of regulatory approval for an RPGR Product in the United States and (ii) aggregate net sales by Buyer or its affiliates of all RPGR Products in the United States since the Janssen Closing Date first exceeds $250.0 million. Buyer has also agreed to pay Seller royalties, based on future net sales globally of the RPGR Product by Buyer or its affiliates, in the mid-teens percentage of annual net sales for the RPGR Product commencing on or after July 1, 2029. Additionally, Buyer will pay a portion of upfront and milestone payments to Seller in the event Buyer or any of its affiliates may receive payments from a third party if Buyer or any of its affiliates grant any license or right to develop or commercialize any RPGR Product to such third party, as well as make royalty payments to Seller for a given RPGR Product based on (A) royalty payments Buyer or its affiliates may receive from such third party (after deduction of any royalty payments due under the UCLB License Agreement) and (B) net sales of a given RPGR Product by such third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Seller and Buyer entering into the Asset Purchase Agreement, Seller and Buyer entered into a Termination Agreement on the Janssen Closing Date (the “Termination Agreement”) terminating that certain Asset Purchase Agreement, dated as of December 20, 2023 (the “Original Asset Purchase Agreement”), by and among Seller and Buyer and Meira UK II, pursuant to which Buyer and Meira UK II sold the RPGR Product to Janssen. The Termination Agreement also terminated that certain Supply Agreement, dated as of December 20, 2023 by and between Meira UK II and Seller (the “Supply Agreement”), and certain other documents related to the Original Asset Purchase Agreement.</w:t>
      </w:r>
    </w:p>
    <w:p>
      <w:pPr>
        <w:spacing w:after="0" w:line="175" w:lineRule="exact"/>
        <w:rPr>
          <w:sz w:val="20"/>
          <w:szCs w:val="20"/>
          <w:color w:val="auto"/>
        </w:rPr>
      </w:pPr>
    </w:p>
    <w:p>
      <w:pPr>
        <w:jc w:val="both"/>
        <w:ind w:left="500" w:right="59"/>
        <w:spacing w:after="0" w:line="256" w:lineRule="auto"/>
        <w:rPr>
          <w:sz w:val="20"/>
          <w:szCs w:val="20"/>
          <w:color w:val="auto"/>
        </w:rPr>
      </w:pPr>
      <w:r>
        <w:rPr>
          <w:rFonts w:ascii="Times New Roman" w:cs="Times New Roman" w:eastAsia="Times New Roman" w:hAnsi="Times New Roman"/>
          <w:sz w:val="18"/>
          <w:szCs w:val="18"/>
          <w:color w:val="auto"/>
        </w:rPr>
        <w:t>Johnson &amp; Johnson Innovation – JJDC, Inc. (“JJDC”), the investment arm of Johnson &amp; Johnson and owner of Seller, owns more than 5% of the Company’s outstanding shares. JJDC and Seller have agreed not to sell or transfer any of the Company’s ordinary shares or securities convertible into, exchangeable for, or exercisable for the Company’s ordinary shares, for twelve months after the Janssen Closing Date and following such twelve month period, if they ever intend to sell the Company’s shares after the twelve month period, they will provide written notice to the Company at least five business days prior to taking any action.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 Collaboration Agreement</w:t>
      </w:r>
    </w:p>
    <w:p>
      <w:pPr>
        <w:spacing w:after="0" w:line="202"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On November 7, 2025 (the “Lilly Effective Date”), Meira Ocular, MeiraGTx Limited and Meira UK II (collectively, “Meira”), entered into a strategic collaboration and license agreement with Eli Lilly and Company (“Lilly”) (the “Lilly Collaboration Agreement”) for the research, development and commercialization of genetic medicines in and related to the area of ophthalmology. Under the Lilly Collaboration Agreement, Meira has granted Lilly exclusive, worldwide rights to research, develop and commercialize the Company’s product candidate AAV-AIPL1, which treats Leber congenital amaurosis 4, or LCA4, caused by mutations in the AIPL1 gene, as well as two other preclinical product candidates which are intended to treat other inherited retinal dystrophies. As of the Lilly Effective Date, Lilly has (i) an exclusive license to proprietary intravitreal capsids for use with up to five targets, relating to or useful in the field of ophthalmology, to be selected by Lilly, (ii) an exclusive license to proprietary pan-retinal or rod-specific promoters for use with up to five targets, relating to or useful in the field of ophthalmology, to be selected by Lilly and (iii) a right of first designation with respect to certain target-specific transactions that Meira Ocular or its affiliates may seek to pursue in the field of ophthalmology. Lilly also has a right of first negotiation for use of the Company’s proprietary riboswitch technology in the field of ophthalmological gene editing.</w:t>
      </w:r>
    </w:p>
    <w:p>
      <w:pPr>
        <w:spacing w:after="0" w:line="174"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Under the terms of the Lilly Collaboration Agreement, Meira received an upfront payment of $75.0 million after signing the Lilly Collaboration Agreement and will be eligible to receive up to over $400.0 million in total milestone payments, including up to $135.0 million in other potential near-term cash consideration upon the achievement of certain development and regulatory approval milestones. Lilly has the right to research, develop and commercialize products under the Lilly Collaboration Agreement, at its cost. To the extent certain activities are performed by the Company in connection with the collaboration, the Company may receive reimbursement for such activities in accordance with the terms of the Lilly Collaboration Agreement. The Lilly Collaboration Agreement also provides for tiered royalties to be paid to Meira Ocular.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Hologen Transactions</w:t>
      </w:r>
    </w:p>
    <w:p>
      <w:pPr>
        <w:spacing w:after="0" w:line="202"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On March 9, 2025 (the “Hologen Signing Date”), the Company and certain of its affiliates entered into a strategic collaboration with Hologen Limited, a non-cellular company limited by shares incorporated in Guernsey (“Hologen”), and certain of its affiliates. Hologen is a leading developer of multi-modal generative AI foundation models of real-world clinical data for clinical medicine and pharmaceutical drug development. As part of the strategic collaboration, the Company and Hologen entered into the Framework Agreements (as defined below), pursuant to which the Company and its affiliates would receive from Hologen an upfront cash payment of $200.0 million (the “Upfront Payment”), and Hologen would provide additional funding of up to an additional $230.0 million to finance the development of the Company’s AAV-GAD program in Parkinson’s disease to commercialization, as well as other locally-delivered therapies in the central nervous system. As part of the strategic collaboration, the Company also received an aggregate of 500,000 Class A shares of Hologen at a nominal price. As of March 31, 2026, Hologen made payments in the aggregate amount of $105.0 million to the Company as part of its commitment toward the Upfront Payment in advance of the closing of the transactions contemplated under the Framework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On the Hologen Signing Date, the Company, Meira Neuro UK, Hologen Neuro AI Limited, a non-cellular company limited by shares incorporated in Guernsey and an affiliate of Hologen (“Hologen Neuro”), and Hologen, entered into that certain Framework Agreement (the “Neuro Framework Agreement”), pursuant to which, on Completion (as defined under the Neuro Framework Agreement), the Company, Meira Neuro UK, Meira Neuro US, Hologen, Hologen Neuro and Hologen Neuro AI UK Limited, a private company limited by shares incorporated in England (“Hologen Neuro UK”), would enter into a Collaboration and License Agreement (the “Hologen Collaboration Agreement”) for the research, development, manufacture and commercialization of the Company’s (i) AAV-GAD investigational gene therapy for the treatment of Parkinson’s disease, AAV-BDNF investigational gene therapy for the treatment of genetic obesity disorders and other potential locally delivered genetic medicines to the central nervous system (the “Clinical Programs”) and (ii) proprietary device designed to effect the local delivery of a gene therapy product into the central nervous system or any topographic or subcutaneous tissue modification on the face and scalp, of humans or animals (the “Delivery Device”), in each case, in accordance with the terms and conditions of the Hologen Collaboration Agreement.</w:t>
      </w:r>
    </w:p>
    <w:p>
      <w:pPr>
        <w:spacing w:after="0" w:line="187" w:lineRule="exact"/>
        <w:rPr>
          <w:sz w:val="20"/>
          <w:szCs w:val="20"/>
          <w:color w:val="auto"/>
        </w:rPr>
      </w:pPr>
    </w:p>
    <w:p>
      <w:pPr>
        <w:jc w:val="both"/>
        <w:ind w:left="500" w:right="59"/>
        <w:spacing w:after="0" w:line="256" w:lineRule="auto"/>
        <w:rPr>
          <w:sz w:val="20"/>
          <w:szCs w:val="20"/>
          <w:color w:val="auto"/>
        </w:rPr>
      </w:pPr>
      <w:r>
        <w:rPr>
          <w:rFonts w:ascii="Times New Roman" w:cs="Times New Roman" w:eastAsia="Times New Roman" w:hAnsi="Times New Roman"/>
          <w:sz w:val="18"/>
          <w:szCs w:val="18"/>
          <w:color w:val="auto"/>
        </w:rPr>
        <w:t>Also on the Hologen Signing Date, Meira Manufacturing, MeiraGTx Limited and Hologen, entered into that certain Framework Agreement (the “Manufacturing Framework Agreement” and, together with the Neuro Framework Agreement, the “Framework Agreements”), pursuant to which, on Completion (as defined in the Manufacturing Framework Agreement), Hologen would acquire a minority interest in Meira Manufacturing, an entity that comprises the Company’s flexible and scalable end-to-end genetic medicines manufacturing business. Hologen would also contribute a portion of the annual funding to Meira Manufacturing.</w:t>
      </w:r>
    </w:p>
    <w:p>
      <w:pPr>
        <w:spacing w:after="0" w:line="187"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On April 2, 2026, the parties to the Framework Agreements entered into Amendment No. 1 to the Deed of Commitment Agreement (“Amendment to Commitment Agreement”) to agree, among other things, (i) to amend the Framework Agreements (A) to provide for additional conditions that must be met prior to Completion (as such term is defined under each of the Framework Agreements) relating to the allocation of the $105 million in payments Hologen previously made to the Company as part of its commitment toward the Upfront Payment as further described below, and (B) to provide that following Completion, Hologen shall fund the remaining portion of the Upfront Payment provided for under the Framework Agreements, and (ii) that Hologen would deploy any funds it raises to pay the remaining portion of the Upfront Payment.</w:t>
      </w:r>
    </w:p>
    <w:p>
      <w:pPr>
        <w:spacing w:after="0" w:line="192" w:lineRule="exact"/>
        <w:rPr>
          <w:sz w:val="20"/>
          <w:szCs w:val="20"/>
          <w:color w:val="auto"/>
        </w:rPr>
      </w:pPr>
    </w:p>
    <w:p>
      <w:pPr>
        <w:jc w:val="both"/>
        <w:ind w:left="500" w:right="59"/>
        <w:spacing w:after="0" w:line="252" w:lineRule="auto"/>
        <w:rPr>
          <w:sz w:val="20"/>
          <w:szCs w:val="20"/>
          <w:color w:val="auto"/>
        </w:rPr>
      </w:pPr>
      <w:r>
        <w:rPr>
          <w:rFonts w:ascii="Times New Roman" w:cs="Times New Roman" w:eastAsia="Times New Roman" w:hAnsi="Times New Roman"/>
          <w:sz w:val="18"/>
          <w:szCs w:val="18"/>
          <w:color w:val="auto"/>
        </w:rPr>
        <w:t>On April 20, 2026 (the “Hologen Initial Closing Date”), the Company and certain of its affiliates completed the initial closing of the strategic collaboration with Hologen and certain of its affiliates. Prior to the Hologen Initial Closing Date, Meira Neuro UK, Hologen Neuro and Hologen entered into a subscription agreement pursuant to which Meira Neuro UK subscribed for Class A shares in Hologen Neuro in consideration for the provision of services to Hologen Neuro and Hologen Neuro UK as specified in the Hologen Collaboration Agreement, including services relating to the development of the Clinical Programs and the Delivery Device and certain other transition services, and Hologen subscribed for Class B shares in Hologen Neuro in consideration for a portion of the $105 million in payments Hologen previously made to the Company as part of its commitment toward the Upfront Payment. The Company then applied a portion of the $105 million in payments Hologen previously made to the Company equal to Hologen’s subscription price to satisfy the portion of the Upfront Payment due to Meira Neuro US under the Neuro Framework Agreement and Hologen Collaboration Agreement. On the Hologen Initial Closing Date, the parties to the Neuro Framework Agreement entered into an amendment to the Neuro Framework Agreement (the “Amendment to the Neuro Framework Agreement”) to, among other things, reflect the pre-closing issuance of the Hologen Neuro shares as additional conditions that needed to be met prior to Completion (as defined under the Neuro Framework Agreement) and to provide that, following Completion, Hologen shall fund the remaining portion of the Upfront Payment provided for under the Neuro Framework Agreement and the Hologen Collaboration Agreement by purchasing a portion of the Class A shares held by Meira Neuro UK, such that following the purchase, such Class A shares purchased by Hologen shall be converted to Class B shares and Hologen shall own 70% of the issued share capital of Hologen Neuro and Meira Neuro UK shall own 30% of the issued share capital of Hologen Neuro.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59"/>
        <w:spacing w:after="0" w:line="252" w:lineRule="auto"/>
        <w:rPr>
          <w:sz w:val="20"/>
          <w:szCs w:val="20"/>
          <w:color w:val="auto"/>
        </w:rPr>
      </w:pPr>
      <w:r>
        <w:rPr>
          <w:rFonts w:ascii="Times New Roman" w:cs="Times New Roman" w:eastAsia="Times New Roman" w:hAnsi="Times New Roman"/>
          <w:sz w:val="18"/>
          <w:szCs w:val="18"/>
          <w:color w:val="auto"/>
        </w:rPr>
        <w:t>Additionally, prior to the Hologen Initial Closing Date, MeiraGTx Limited and Hologen entered into a share purchase agreement pursuant to which Hologen purchased shares in Meira Manufacturing from MeiraGTx Limited in consideration for a portion of the $105 million in payments Hologen previously made to the Company as part of the Upfront Payment. On the Hologen Initial Closing Date, the parties to the Manufacturing Framework Agreement entered into an amendment to the Manufacturing Framework Agreement (the “Amendment to the Manufacturing Framework Agreement” and, together with the Amendment to the Neuro Framework Agreement, the “Amendments to the Framework Agreements”) to, among other things, reflect Hologen’s pre-closing purchase of the Meira Manufacturing shares as an additional condition that needed to be met prior to Completion (as defined under the Manufacturing Framework Agreement) and to provide that, following Completion, Hologen shall fund the remaining portion of the Upfront Payment provided for under the Manufacturing Framework Agreement by purchasing additional shares in Meira Manufacturing from MeiraGTx Limited (the “Additional Share Purchase”), such that following the Additional Share Purchase, Hologen will continue to own a minority interest in Meira Manufacturing. Under the Amendment to the Manufacturing Framework Agreement, the parties also agreed that (i) Hologen’s exclusive, irrevocable option to purchase additional shares in Meira Manufacturing at a specified price, such that following exercise of such option, Hologen would own up to a maximum of 40% of the issued share capital of Meira Manufacturing in the aggregate, shall be granted to Hologen on the closing date of the Additional Share Purchase and expire twelve months thereafter and (ii) the Company’s option to purchase all of the shares of Meira Manufacturing held by Hologen for the same price that Hologen paid for such shares if Hologen does not exercise its option begins on the third anniversary of the closing date of the Additional Share Purchase and ends three years thereafter.</w:t>
      </w:r>
    </w:p>
    <w:p>
      <w:pPr>
        <w:spacing w:after="0" w:line="189" w:lineRule="exact"/>
        <w:rPr>
          <w:sz w:val="20"/>
          <w:szCs w:val="20"/>
          <w:color w:val="auto"/>
        </w:rPr>
      </w:pPr>
    </w:p>
    <w:p>
      <w:pPr>
        <w:jc w:val="both"/>
        <w:ind w:left="500" w:right="59"/>
        <w:spacing w:after="0" w:line="256" w:lineRule="auto"/>
        <w:rPr>
          <w:sz w:val="20"/>
          <w:szCs w:val="20"/>
          <w:color w:val="auto"/>
        </w:rPr>
      </w:pPr>
      <w:r>
        <w:rPr>
          <w:rFonts w:ascii="Times New Roman" w:cs="Times New Roman" w:eastAsia="Times New Roman" w:hAnsi="Times New Roman"/>
          <w:sz w:val="18"/>
          <w:szCs w:val="18"/>
          <w:color w:val="auto"/>
        </w:rPr>
        <w:t>On the Hologen Initial Closing Date, the Company, Meira Neuro UK, Meira Neuro US, Hologen, Hologen Neuro and Hologen Neuro UK entered into the Hologen Collaboration Agreement, pursuant to which Meira Neuro US granted to Hologen Neuro and Hologen Neuro UK, subject to the license granted by Hologen Neuro and Hologen Neuro UK back to Meira Neuro UK, exclusive, worldwide, royalty-free, fully paid-up licenses to certain of the Company’s intellectual property rights for the research, development, manufacture and commercialization of the Clinical Programs and the Delivery Device.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500" w:right="5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 Certain reclassifications of prior period activities have been made to conform to current year presentation.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for interim financial information and with the instructions to Form 10-Q and Article 10 of Regulation S-X. Accordingly, they do not include all the information and footnotes required by GAAP for complete consolidated financial statements. In the opinion of management, the condensed consolidated financial statements include all adjustments (consisting of normal recurring adjustments) necessary in order to make the condensed consolidated financial statements not misleading. Operating results for the three-month period ended March 31, 2026 are not necessarily indicative of the results that may be expected for the year ending December 31, 2026. These unaudited condensed consolidated financial statements should be read in conjunction with the audited consolidated financial statements and the notes thereto for the year ended December 31, 2025 included in the Company’s Annual Report on Form 10-K for the fiscal year ended December 31, 2025 (the “Form 10-K”).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The Company has not yet achieved profitable operations. There is no assurance that profitable operations, if ever achieved, could be sustained on a continuing basis. In addition, development activities, clinical and preclinical testing, and commercialization of the Company’s product candidates will require significant additional financing. The Company’s accumulated deficit at March 31, 2026 totaled $862.5 million, and management expects to incur substantial losses in future periods. The success of the Company is subject to certain risks and uncertainties, including, among others: uncertainty of product development; competition in the Company’s field of use; uncertainty of capital availability; uncertainty in the Company’s ability to enter into agreements and consummate transactions with collaborative partners; expanding and protecting the Company’s intellectual property portfolio; dependence on third parties; and dependence on key personnel. For the three months ended March 31, 2026, the Company had $17.8 million provided by cash flows from operations. There are no assurances that the Company will generate positive cash flows in the future. Additionally, there are no assurances that the Company will be successful in obtaining an adequate level of financing for the development and commercialization of its product candidates.</w:t>
      </w:r>
    </w:p>
    <w:p>
      <w:pPr>
        <w:spacing w:after="0" w:line="190"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restricted cash in the amount of $73.8 million, which consisted of depository and money market accounts held at large international banks. The Company estimates that its cash and cash equivalents on-hand and tax incentive receivable at March 31, 2026 together with the approximately $100.0 million gross proceeds from the public equity offering in the second quarter of 2026 will be sufficient to cover its expenses for at least the next twelve months from the date of issuance of these condensed consolidated financial statements, including the upfront payment to Janssen for the reacquisition of the RPGR Product and the repayment of the Company’s outstanding debt obligation of $25.0 million due in June 2026 as further described in Note 11. This estimate does not include the remaining $95.0 million Upfront Payment from Hologen or the $135.0 million in potential near-term cash consideration from Lilly upon achievement of certain development and regulatory approval milestones.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left="500" w:right="59"/>
        <w:spacing w:after="0" w:line="266" w:lineRule="auto"/>
        <w:rPr>
          <w:sz w:val="20"/>
          <w:szCs w:val="20"/>
          <w:color w:val="auto"/>
        </w:rPr>
      </w:pPr>
      <w:r>
        <w:rPr>
          <w:rFonts w:ascii="Times New Roman" w:cs="Times New Roman" w:eastAsia="Times New Roman" w:hAnsi="Times New Roman"/>
          <w:sz w:val="18"/>
          <w:szCs w:val="18"/>
          <w:color w:val="auto"/>
        </w:rPr>
        <w:t>The Company operates in an industry that is subject to intense competition, government regulation and rapid technological change. The Company’s operations are subject to significant risk and uncertainties including financial, operational, technological, regulatory and other risks, including the potential risk of business failure.</w:t>
      </w:r>
    </w:p>
    <w:p>
      <w:pPr>
        <w:spacing w:after="0" w:line="176" w:lineRule="exact"/>
        <w:rPr>
          <w:sz w:val="20"/>
          <w:szCs w:val="20"/>
          <w:color w:val="auto"/>
        </w:rPr>
      </w:pPr>
    </w:p>
    <w:p>
      <w:pPr>
        <w:jc w:val="both"/>
        <w:ind w:left="500" w:right="59" w:firstLine="24"/>
        <w:spacing w:after="0" w:line="256" w:lineRule="auto"/>
        <w:rPr>
          <w:sz w:val="20"/>
          <w:szCs w:val="20"/>
          <w:color w:val="auto"/>
        </w:rPr>
      </w:pPr>
      <w:r>
        <w:rPr>
          <w:rFonts w:ascii="Times New Roman" w:cs="Times New Roman" w:eastAsia="Times New Roman" w:hAnsi="Times New Roman"/>
          <w:sz w:val="18"/>
          <w:szCs w:val="18"/>
          <w:color w:val="auto"/>
        </w:rPr>
        <w:t>The Company’s capital resources and operations to date have been funded primarily with the proceeds from the Company’s collaboration and business development activities and private and public equity offerings, as well as the proceeds from the debt financing described in Note 11. In the future, the Company may seek to raise additional capital through equity offerings, debt financings, marketing and distribution arrangements and other collaborations, strategic alliances and licensing arrangements or other sources to enable it to complete the development and potential commercialization of its product candidates.</w:t>
      </w:r>
    </w:p>
    <w:p>
      <w:pPr>
        <w:spacing w:after="0" w:line="183" w:lineRule="exact"/>
        <w:rPr>
          <w:sz w:val="20"/>
          <w:szCs w:val="20"/>
          <w:color w:val="auto"/>
        </w:rPr>
      </w:pPr>
    </w:p>
    <w:p>
      <w:pPr>
        <w:ind w:left="500" w:hanging="450"/>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Recent Accounting Pronouncements</w:t>
      </w:r>
    </w:p>
    <w:p>
      <w:pPr>
        <w:spacing w:after="0" w:line="229" w:lineRule="exact"/>
        <w:rPr>
          <w:rFonts w:ascii="Times New Roman" w:cs="Times New Roman" w:eastAsia="Times New Roman" w:hAnsi="Times New Roman"/>
          <w:sz w:val="18"/>
          <w:szCs w:val="18"/>
          <w:b w:val="1"/>
          <w:bCs w:val="1"/>
          <w:color w:val="auto"/>
        </w:rPr>
      </w:pPr>
    </w:p>
    <w:p>
      <w:pPr>
        <w:jc w:val="both"/>
        <w:ind w:left="500" w:right="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Company’s significant accounting policies are described below. All of the Company’s significant accounting policies are disclosed in the notes to the audited consolidated financial statements as of and for the year ended December 31, 2025 included in the Company’s Form 10-K.</w:t>
      </w:r>
    </w:p>
    <w:p>
      <w:pPr>
        <w:spacing w:after="0" w:line="17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left="500" w:right="5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Meira Holdings and its wholly owned subsidiaries:</w:t>
      </w:r>
    </w:p>
    <w:p>
      <w:pPr>
        <w:spacing w:after="0" w:line="162" w:lineRule="exact"/>
        <w:rPr>
          <w:sz w:val="20"/>
          <w:szCs w:val="20"/>
          <w:color w:val="auto"/>
        </w:rPr>
      </w:pPr>
    </w:p>
    <w:p>
      <w:pPr>
        <w:ind w:left="1020" w:right="1479"/>
        <w:spacing w:after="0" w:line="407" w:lineRule="auto"/>
        <w:rPr>
          <w:sz w:val="20"/>
          <w:szCs w:val="20"/>
          <w:color w:val="auto"/>
        </w:rPr>
      </w:pPr>
      <w:r>
        <w:rPr>
          <w:rFonts w:ascii="Times New Roman" w:cs="Times New Roman" w:eastAsia="Times New Roman" w:hAnsi="Times New Roman"/>
          <w:sz w:val="18"/>
          <w:szCs w:val="18"/>
          <w:color w:val="auto"/>
        </w:rPr>
        <w:t>MeiraGTx Limited, a limited company incorporated under the laws of England and Wales; MeiraGTx, LLC, a Delaware limited liability company (“Meira LLC”);</w:t>
      </w:r>
    </w:p>
    <w:p>
      <w:pPr>
        <w:sectPr>
          <w:pgSz w:w="11900" w:h="16838" w:orient="portrait"/>
          <w:cols w:equalWidth="0" w:num="1">
            <w:col w:w="9019"/>
          </w:cols>
          <w:pgMar w:left="1440" w:top="513" w:right="1440"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MeiraGTx UK II Limited, a limited company incorporated under the laws of England and Wales (“Meira UK II”);</w:t>
      </w:r>
    </w:p>
    <w:p>
      <w:pPr>
        <w:spacing w:after="0" w:line="54"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MeiraGTx Ireland DAC, a designated activity company incorporated under the laws of Ireland (“Meira Ireland”);</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UK Limited, a limited company incorporated under the laws of England and Wales (“Meira UK”);</w:t>
      </w:r>
    </w:p>
    <w:p>
      <w:pPr>
        <w:spacing w:after="0" w:line="11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MeiraGTx Belgium, a private company with limited liability incorporated under the laws of Belgium (“Meira Belgium”);</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Cell Therapies, a simplified joint stock company, incorporated under the laws of France;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BRI-Alzan, Inc., a Delaware corporation;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Bio, Inc., a Delaware corporation;</w:t>
      </w:r>
    </w:p>
    <w:p>
      <w:pPr>
        <w:spacing w:after="0" w:line="11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MeiraGTx B.V., a private company with limited liability incorporated under the laws of the Netherlands (“Meira B.V.”);</w:t>
      </w:r>
    </w:p>
    <w:p>
      <w:pPr>
        <w:spacing w:after="0" w:line="54"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MeiraGTx Netherlands, B.V., a private company with limited liability incorporated under the laws of the Netherlands (“Meira Netherlands”);</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Neurosciences, Inc., a Delaware corporation;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Therapeutics, Inc., a Delaware corporation;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Neuro I, LLC, a Delaware limited liability company (“Meira Neuro US”);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MeiraGTx Neuro II, LLC, a Delaware limited liability company;</w:t>
      </w:r>
    </w:p>
    <w:p>
      <w:pPr>
        <w:spacing w:after="0" w:line="11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MeiraGTx Manufacturing Limited, a limited company incorporated under the laws of England and Wales (“Meira Manufacturing”);</w:t>
      </w:r>
    </w:p>
    <w:p>
      <w:pPr>
        <w:spacing w:after="0" w:line="54"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MeiraGTx Ocular UK Limited, a limited company incorporated under the laws of England and Wales (“Meira Ocular”);</w:t>
      </w:r>
    </w:p>
    <w:p>
      <w:pPr>
        <w:spacing w:after="0" w:line="54"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MeiraGTx Gene Regulation Limited, a limited company incorporated under the laws of England and Wales; and</w:t>
      </w:r>
    </w:p>
    <w:p>
      <w:pPr>
        <w:spacing w:after="0" w:line="54"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MeiraGTx Neuro UK Limited, a limited company incorporated under the laws of England and Wales (“Meira Neuro UK”).</w:t>
      </w:r>
    </w:p>
    <w:p>
      <w:pPr>
        <w:spacing w:after="0" w:line="162"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All intercompany balances and transactions between the consolidated companies have been eliminated in consolidation.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500" w:right="59"/>
        <w:spacing w:after="0" w:line="252" w:lineRule="auto"/>
        <w:rPr>
          <w:sz w:val="20"/>
          <w:szCs w:val="20"/>
          <w:color w:val="auto"/>
        </w:rPr>
      </w:pPr>
      <w:r>
        <w:rPr>
          <w:rFonts w:ascii="Times New Roman" w:cs="Times New Roman" w:eastAsia="Times New Roman" w:hAnsi="Times New Roman"/>
          <w:sz w:val="18"/>
          <w:szCs w:val="18"/>
          <w:color w:val="auto"/>
        </w:rPr>
        <w:t>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condensed consolidated financial statements, management used significant estimates in the following areas, among others: service revenue, fair value of nonfinancial assets, stand-alone selling price and material rights in connection with the Asset Purchase and Supply Agreements, the accounting for research and development costs, share-based compensation, leases, asset retirement obligations, fair value of financial instruments and tax incentive receivable.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Restricted cash represents a guarantee put in place as required by the terms of the research and innovation grant from IDA Ireland which offers financial assistance in establishing the Company’s operations in Shannon, Ireland. The following table provides a reconciliation of the components of cash and cash equivalents and restricted cash reported in the Company’s condensed consolidated balance sheets to the total of the amount presented in the condensed consolidated statements of cash flows (in thousands):</w:t>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in the</w:t>
            </w: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73,758</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38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81" w:lineRule="exact"/>
        <w:rPr>
          <w:sz w:val="20"/>
          <w:szCs w:val="20"/>
          <w:color w:val="auto"/>
        </w:rPr>
      </w:pPr>
    </w:p>
    <w:p>
      <w:pPr>
        <w:jc w:val="both"/>
        <w:ind w:left="500" w:right="59"/>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or ASC 820, for application to financial assets and liabilities. In addition to defining fair value, the standard expands the disclosure requirements around fair value and establishes a fair value hierarchy for valuation inputs. The hierarchy prioritizes the inputs into three levels based on the extent to which inputs used in measuring fair value are observable in the market. Each fair value measurement is reported in one of the three levels which are determined by the lowest level input that is significant to the fair value measurement in its entirety. These levels are:</w:t>
      </w:r>
    </w:p>
    <w:p>
      <w:pPr>
        <w:spacing w:after="0" w:line="184" w:lineRule="exact"/>
        <w:rPr>
          <w:sz w:val="20"/>
          <w:szCs w:val="20"/>
          <w:color w:val="auto"/>
        </w:rPr>
      </w:pPr>
    </w:p>
    <w:p>
      <w:pPr>
        <w:ind w:left="1380" w:right="79" w:hanging="331"/>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the reporting entity has the ability to access as of the measurement date;</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62" w:lineRule="exact"/>
        <w:rPr>
          <w:sz w:val="20"/>
          <w:szCs w:val="20"/>
          <w:color w:val="auto"/>
        </w:rPr>
      </w:pPr>
    </w:p>
    <w:p>
      <w:pPr>
        <w:ind w:left="460" w:right="79"/>
        <w:spacing w:after="0" w:line="282" w:lineRule="auto"/>
        <w:rPr>
          <w:sz w:val="20"/>
          <w:szCs w:val="20"/>
          <w:color w:val="auto"/>
        </w:rPr>
      </w:pPr>
      <w:r>
        <w:rPr>
          <w:rFonts w:ascii="Times New Roman" w:cs="Times New Roman" w:eastAsia="Times New Roman" w:hAnsi="Times New Roman"/>
          <w:sz w:val="18"/>
          <w:szCs w:val="18"/>
          <w:color w:val="auto"/>
        </w:rPr>
        <w:t>The table below represents the values of the Company's financial assets and liabilities that are required to be measured at fair value on a recurring basis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Fair Value Measurement Using:</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gridSpan w:val="2"/>
          </w:tcPr>
          <w:p>
            <w:pPr>
              <w:jc w:val="right"/>
              <w:ind w:right="96"/>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color w:val="auto"/>
              </w:rPr>
              <w:t>Significant</w:t>
            </w:r>
          </w:p>
        </w:tc>
        <w:tc>
          <w:tcPr>
            <w:tcW w:w="126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 Significant Other</w:t>
            </w:r>
          </w:p>
        </w:tc>
        <w:tc>
          <w:tcPr>
            <w:tcW w:w="280" w:type="dxa"/>
            <w:vAlign w:val="bottom"/>
            <w:gridSpan w:val="2"/>
          </w:tcPr>
          <w:p>
            <w:pPr>
              <w:jc w:val="right"/>
              <w:ind w:right="43"/>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 Inputs</w:t>
            </w:r>
          </w:p>
        </w:tc>
        <w:tc>
          <w:tcPr>
            <w:tcW w:w="2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Observable 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equivalents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13,929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13,929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Fair Value Measurement Using:</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December 31,</w:t>
            </w:r>
          </w:p>
        </w:tc>
        <w:tc>
          <w:tcPr>
            <w:tcW w:w="340" w:type="dxa"/>
            <w:vAlign w:val="bottom"/>
            <w:gridSpan w:val="2"/>
          </w:tcPr>
          <w:p>
            <w:pPr>
              <w:jc w:val="right"/>
              <w:ind w:right="76"/>
              <w:spacing w:after="0" w:line="11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ind w:right="89"/>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26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3"/>
                <w:szCs w:val="13"/>
                <w:color w:val="auto"/>
              </w:rPr>
              <w:t>​​​ Significant Other</w:t>
            </w:r>
          </w:p>
        </w:tc>
        <w:tc>
          <w:tcPr>
            <w:tcW w:w="280" w:type="dxa"/>
            <w:vAlign w:val="bottom"/>
            <w:gridSpan w:val="2"/>
          </w:tcPr>
          <w:p>
            <w:pPr>
              <w:jc w:val="right"/>
              <w:ind w:right="23"/>
              <w:spacing w:after="0" w:line="11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ind w:right="9"/>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 Inputs</w:t>
            </w:r>
          </w:p>
        </w:tc>
        <w:tc>
          <w:tcPr>
            <w:tcW w:w="2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Observable 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equivalents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60,253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60,253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60" w:right="59"/>
        <w:spacing w:after="0" w:line="256" w:lineRule="auto"/>
        <w:rPr>
          <w:sz w:val="20"/>
          <w:szCs w:val="20"/>
          <w:color w:val="auto"/>
        </w:rPr>
      </w:pPr>
      <w:r>
        <w:rPr>
          <w:rFonts w:ascii="Times New Roman" w:cs="Times New Roman" w:eastAsia="Times New Roman" w:hAnsi="Times New Roman"/>
          <w:sz w:val="18"/>
          <w:szCs w:val="18"/>
          <w:color w:val="auto"/>
        </w:rPr>
        <w:t>At March 31, 2026, the Company's financial instruments included cash and cash equivalents, restricted cash, accounts receivable – related party, and accounts payable. The carrying amounts reported in the Company's condensed consolidated financial statements for these instruments approximate their respective fair values because of the short-term nature of these instruments. In addition, at March 31, 2026, the Company believes the carrying value of the Tranche 1 Notes (as defined in Note 11) approximates fair value as the interest rate is reflective of the rate the Company could obtain on debt with similar terms and conditions.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ind w:left="460" w:right="59"/>
        <w:spacing w:after="0" w:line="255" w:lineRule="auto"/>
        <w:rPr>
          <w:sz w:val="20"/>
          <w:szCs w:val="20"/>
          <w:color w:val="auto"/>
        </w:rPr>
      </w:pPr>
      <w:r>
        <w:rPr>
          <w:rFonts w:ascii="Times New Roman" w:cs="Times New Roman" w:eastAsia="Times New Roman" w:hAnsi="Times New Roman"/>
          <w:sz w:val="18"/>
          <w:szCs w:val="18"/>
          <w:color w:val="auto"/>
        </w:rPr>
        <w:t>Accounting for asset retirement obligations requires legal obligations associated with the retirement of long-lived assets to be recognized at fair value when incurred and capitalized as part of the related long-lived asset. In the absence of quoted market prices, the Company estimates the fair value of its asset retirement obligations using Level 3 present value techniques, in which estimates of future cash flows associated with retirement activities are discounted using a credit-adjusted risk-free rate. Asset retirement obligations currently reported on the condensed consolidated balance sheets were measured during a period of historically low interest rates. The impact on measurements of new asset retirement obligations using different rates in the future may be significant.</w:t>
      </w:r>
    </w:p>
    <w:p>
      <w:pPr>
        <w:spacing w:after="0" w:line="189" w:lineRule="exact"/>
        <w:rPr>
          <w:sz w:val="20"/>
          <w:szCs w:val="20"/>
          <w:color w:val="auto"/>
        </w:rPr>
      </w:pPr>
    </w:p>
    <w:p>
      <w:pPr>
        <w:jc w:val="both"/>
        <w:ind w:left="460" w:right="59"/>
        <w:spacing w:after="0" w:line="261" w:lineRule="auto"/>
        <w:rPr>
          <w:sz w:val="20"/>
          <w:szCs w:val="20"/>
          <w:color w:val="auto"/>
        </w:rPr>
      </w:pPr>
      <w:r>
        <w:rPr>
          <w:rFonts w:ascii="Times New Roman" w:cs="Times New Roman" w:eastAsia="Times New Roman" w:hAnsi="Times New Roman"/>
          <w:sz w:val="18"/>
          <w:szCs w:val="18"/>
          <w:color w:val="auto"/>
        </w:rPr>
        <w:t>The Company uses estimates to determine the asset retirement obligations at the end of the lease term and discounts such asset retirement obligations using an estimated discount rate. Interest on the discounted asset retirement obligation is amortized over the term of the lease using the effective interest method and is recorded as interest expense in the condensed consolidated statements of operations and comprehensive loss.</w:t>
      </w:r>
    </w:p>
    <w:p>
      <w:pPr>
        <w:spacing w:after="0" w:line="180" w:lineRule="exact"/>
        <w:rPr>
          <w:sz w:val="20"/>
          <w:szCs w:val="20"/>
          <w:color w:val="auto"/>
        </w:rPr>
      </w:pPr>
    </w:p>
    <w:p>
      <w:pPr>
        <w:jc w:val="both"/>
        <w:ind w:left="460" w:right="5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2025, the Company determined that it was reasonably certain to exercise its early termination option on an operating lease for laboratory and office space, for which the Company had an associated asset retirement obligation liability in the amount of $1.7 million and a corresponding leasehold improvement with a net book value of $0.3 million as of March 31, 2025. At that time, the landlord indicated that it would no longer require the Company to make any changes to the premises prior to the lease termination and the Company only expected to incur $0.1 million related to decontamination costs. Therefore, a change in estimate of the asset retirement obligation was recorded resulting in a gain on termination of lease liabilities of $1.3 million which is included in general and administrative expenses for the three months ended March 31, 2025 in the accompanying condensed consolidated statements of operations.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asset retirement obligations is as follows (in thousands):</w:t>
      </w:r>
    </w:p>
    <w:p>
      <w:pPr>
        <w:spacing w:after="0" w:line="239"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For the Three-Month Periods Ended March 31,</w:t>
            </w:r>
          </w:p>
        </w:tc>
      </w:tr>
      <w:tr>
        <w:trPr>
          <w:trHeight w:val="210"/>
        </w:trPr>
        <w:tc>
          <w:tcPr>
            <w:tcW w:w="3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4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interest</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0"/>
        </w:trPr>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IDA Ireland Grant</w:t>
      </w:r>
    </w:p>
    <w:p>
      <w:pPr>
        <w:spacing w:after="0" w:line="148"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In August 2021, Meira Ireland entered into an agreement pursuant to which it received a grant from IDA Ireland for financial assistance in establishing its operations in Shannon, Ireland. Under the terms of the grant, Meira Ireland is eligible to receive the lesser of €1.0 million or €10,000 for each job created (the “employment grant”) and the lesser of €1.2 million or 4% of the actual expenditure on the provision of machinery and equipment (the “capital grant”). Meira Ireland may apply for a drawdown of the employment grant once a job has been created and the position has been held for a period of at least one month, and may apply for a drawdown of the capital grant once an eligible asset has been purchased and installed, conditioned on the creation of a cumulative number of jobs by the end of the immediately preceding year. An aggregate of 100 jobs must be created to receive the maximum benefit under the capital grant. An application for a drawdown must be accompanied by an audit certification for compliance with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59"/>
        <w:spacing w:after="0" w:line="255" w:lineRule="auto"/>
        <w:rPr>
          <w:sz w:val="20"/>
          <w:szCs w:val="20"/>
          <w:color w:val="auto"/>
        </w:rPr>
      </w:pPr>
      <w:r>
        <w:rPr>
          <w:rFonts w:ascii="Times New Roman" w:cs="Times New Roman" w:eastAsia="Times New Roman" w:hAnsi="Times New Roman"/>
          <w:sz w:val="18"/>
          <w:szCs w:val="18"/>
          <w:color w:val="auto"/>
        </w:rPr>
        <w:t>terms of the grant. The Company has a guarantee in place with a bank in favor of IDA Ireland, pursuant to which it restricts cash in the amount of claims made under the grant such that the Company maintains the funds to cover any portion of the grant income that may become repayable in the future. This amount is presented as restricted cash in the accompanying condensed consolidated balance sheet. All expenditures were required to be completed by December 31, 2024, and the agreement terminates on the later of five years from the date of the last payment from the grant or five years from completion of the capital investment, which is expenditure of at least €30.0 million on eligible machinery and equipment.</w:t>
      </w:r>
    </w:p>
    <w:p>
      <w:pPr>
        <w:spacing w:after="0" w:line="121" w:lineRule="exact"/>
        <w:rPr>
          <w:sz w:val="20"/>
          <w:szCs w:val="20"/>
          <w:color w:val="auto"/>
        </w:rPr>
      </w:pPr>
    </w:p>
    <w:p>
      <w:pPr>
        <w:jc w:val="both"/>
        <w:ind w:left="500" w:right="59"/>
        <w:spacing w:after="0" w:line="261" w:lineRule="auto"/>
        <w:rPr>
          <w:sz w:val="20"/>
          <w:szCs w:val="20"/>
          <w:color w:val="auto"/>
        </w:rPr>
      </w:pPr>
      <w:r>
        <w:rPr>
          <w:rFonts w:ascii="Times New Roman" w:cs="Times New Roman" w:eastAsia="Times New Roman" w:hAnsi="Times New Roman"/>
          <w:sz w:val="18"/>
          <w:szCs w:val="18"/>
          <w:color w:val="auto"/>
        </w:rPr>
        <w:t>The Company recognizes grant income when there is reasonable assurance that the Company will comply with the conditions attached to the grant and that it will receive the grant. During the three months ended March 31, 2026 and 2025, the Company recognized de minimis grant income as a reduction of research and development expenses in the accompanying condensed consolidated statements of operations and comprehensive loss.</w:t>
      </w:r>
    </w:p>
    <w:p>
      <w:pPr>
        <w:spacing w:after="0" w:line="112" w:lineRule="exact"/>
        <w:rPr>
          <w:sz w:val="20"/>
          <w:szCs w:val="20"/>
          <w:color w:val="auto"/>
        </w:rPr>
      </w:pPr>
    </w:p>
    <w:p>
      <w:pPr>
        <w:jc w:val="both"/>
        <w:ind w:left="500" w:right="59"/>
        <w:spacing w:after="0" w:line="256" w:lineRule="auto"/>
        <w:rPr>
          <w:sz w:val="20"/>
          <w:szCs w:val="20"/>
          <w:color w:val="auto"/>
        </w:rPr>
      </w:pPr>
      <w:r>
        <w:rPr>
          <w:rFonts w:ascii="Times New Roman" w:cs="Times New Roman" w:eastAsia="Times New Roman" w:hAnsi="Times New Roman"/>
          <w:sz w:val="18"/>
          <w:szCs w:val="18"/>
          <w:color w:val="auto"/>
        </w:rPr>
        <w:t>Until the termination of the grant agreement in September 2030, Meira Ireland must maintain compliance with the terms of the grant. If the total number of jobs is less than 100 at the time of IDA Ireland’s annual review, the Company may have to repay a portion of the capital grant, and if a job for which the Company received employment grant funding remains vacant for a period in excess of six calendar months, the Company may have to repay the employment grant received for that job. As of March 31, 2026, the Company is in compliance with the terms of the grant.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34" w:lineRule="exact"/>
        <w:rPr>
          <w:sz w:val="20"/>
          <w:szCs w:val="20"/>
          <w:color w:val="auto"/>
        </w:rPr>
      </w:pPr>
    </w:p>
    <w:p>
      <w:pPr>
        <w:jc w:val="both"/>
        <w:ind w:left="500" w:right="59"/>
        <w:spacing w:after="0" w:line="289" w:lineRule="auto"/>
        <w:rPr>
          <w:sz w:val="20"/>
          <w:szCs w:val="20"/>
          <w:color w:val="auto"/>
        </w:rPr>
      </w:pPr>
      <w:r>
        <w:rPr>
          <w:rFonts w:ascii="Times New Roman" w:cs="Times New Roman" w:eastAsia="Times New Roman" w:hAnsi="Times New Roman"/>
          <w:sz w:val="17"/>
          <w:szCs w:val="17"/>
          <w:color w:val="auto"/>
        </w:rPr>
        <w:t>When the Company concludes that a contract should be accounted for as a combined performance obligation and recognized over time, the Company must then determine the period over which revenue should be recognized and the method by which to measure revenue. The Company generally recognizes revenue using a cost-based input method.</w:t>
      </w:r>
    </w:p>
    <w:p>
      <w:pPr>
        <w:spacing w:after="0" w:line="104"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At inception, the Company determines whether contracts are within the scope of ASC 606 or other topics. For contracts that are determined to be within the scope of ASC 606, the Company recognizes revenue when its customer or collaborator obtains control of promised goods or services, in an amount that reflects the consideration which the Company expects to receive in exchange for those goods or services. To determine revenue recognition the Company performs the following five steps:</w:t>
      </w:r>
    </w:p>
    <w:p>
      <w:pPr>
        <w:spacing w:after="0" w:line="129" w:lineRule="exact"/>
        <w:rPr>
          <w:sz w:val="20"/>
          <w:szCs w:val="20"/>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7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within the contract; and</w:t>
      </w:r>
    </w:p>
    <w:p>
      <w:pPr>
        <w:spacing w:after="0" w:line="17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determines that it is probable it will collect the consideration it is entitled to in exchange for the goods or services it transfers to the customer.</w:t>
      </w:r>
    </w:p>
    <w:p>
      <w:pPr>
        <w:spacing w:after="0" w:line="108"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 research, development and manufacturing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40"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65"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51"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If there are multiple performance obligations, the Company allocates the transaction price to each performance obligation based on their estimated standalone selling prices (“SSP”). The Company estimates the SSP for each performance obligation by considering information such as market conditions, entity-specific factors, and information about its customer that is reasonably available. The Company considers estimation approaches that allow it to maximize the use of observable inputs. These estimation approaches may include the adjusted market assessment approach, the expected cost plus a margin approach or the residual approach. The Company also considers whether to use a different estimation approach or a combination of approaches to estimate the SSP for each performance obligation. Developing certain assumptions (e.g., treatable patient population, expected market share, probability of success and product profitability, and discount rate based on weighted-average cost of capital) to estimate the SSP of a performance obligation requires significant judgment.</w:t>
      </w:r>
    </w:p>
    <w:p>
      <w:pPr>
        <w:spacing w:after="0" w:line="154" w:lineRule="exact"/>
        <w:rPr>
          <w:sz w:val="20"/>
          <w:szCs w:val="20"/>
          <w:color w:val="auto"/>
        </w:rPr>
      </w:pPr>
    </w:p>
    <w:p>
      <w:pPr>
        <w:jc w:val="both"/>
        <w:ind w:left="500" w:right="59"/>
        <w:spacing w:after="0" w:line="261" w:lineRule="auto"/>
        <w:rPr>
          <w:sz w:val="20"/>
          <w:szCs w:val="20"/>
          <w:color w:val="auto"/>
        </w:rPr>
      </w:pPr>
      <w:r>
        <w:rPr>
          <w:rFonts w:ascii="Times New Roman" w:cs="Times New Roman" w:eastAsia="Times New Roman" w:hAnsi="Times New Roman"/>
          <w:sz w:val="18"/>
          <w:szCs w:val="18"/>
          <w:color w:val="auto"/>
        </w:rPr>
        <w:t>The Company records amounts as contract assets when the right to consideration is deemed unconditional. Contract assets are reclassified as accounts receivable once billed. When consideration is received, or such consideration is unconditionally due, from a customer prior to transferring goods or services to the customer under the terms of a contract, a contract liability is recorded as deferred revenue.</w:t>
      </w:r>
    </w:p>
    <w:p>
      <w:pPr>
        <w:spacing w:after="0" w:line="153"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recognized as deferred revenue in the Company’s condensed consolidated balance sheet. Amounts expected to be recognized as revenue within the 12 months following the balance sheet date are classified as deferred revenue – related party, current. Amounts not expected to be recognized as revenue within the 12 months following the balance sheet date are classified as deferred revenue – related party.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revenue arrangements include the following:</w:t>
      </w:r>
    </w:p>
    <w:p>
      <w:pPr>
        <w:spacing w:after="0" w:line="225" w:lineRule="exact"/>
        <w:rPr>
          <w:sz w:val="20"/>
          <w:szCs w:val="20"/>
          <w:color w:val="auto"/>
        </w:rPr>
      </w:pPr>
    </w:p>
    <w:p>
      <w:pPr>
        <w:jc w:val="both"/>
        <w:ind w:left="500" w:right="59"/>
        <w:spacing w:after="0" w:line="254" w:lineRule="auto"/>
        <w:rPr>
          <w:sz w:val="20"/>
          <w:szCs w:val="20"/>
          <w:color w:val="auto"/>
        </w:rPr>
      </w:pPr>
      <w:r>
        <w:rPr>
          <w:rFonts w:ascii="Times New Roman" w:cs="Times New Roman" w:eastAsia="Times New Roman" w:hAnsi="Times New Roman"/>
          <w:sz w:val="18"/>
          <w:szCs w:val="18"/>
          <w:color w:val="auto"/>
        </w:rPr>
        <w:t>Up-front License Fees: If a license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adjusts the measure of performance and related revenue recognition.</w:t>
      </w:r>
    </w:p>
    <w:p>
      <w:pPr>
        <w:spacing w:after="0" w:line="192"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Milestone Payments: At the inception of an agreement that includes research and development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194"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Royalties: For arrangements that include sales-based royalties, including milestone payments based on a level of 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183" w:lineRule="exact"/>
        <w:rPr>
          <w:sz w:val="20"/>
          <w:szCs w:val="20"/>
          <w:color w:val="auto"/>
        </w:rPr>
      </w:pPr>
    </w:p>
    <w:p>
      <w:pPr>
        <w:jc w:val="both"/>
        <w:ind w:left="500" w:right="79"/>
        <w:spacing w:after="0" w:line="266" w:lineRule="auto"/>
        <w:rPr>
          <w:sz w:val="20"/>
          <w:szCs w:val="20"/>
          <w:color w:val="auto"/>
        </w:rPr>
      </w:pPr>
      <w:r>
        <w:rPr>
          <w:rFonts w:ascii="Times New Roman" w:cs="Times New Roman" w:eastAsia="Times New Roman" w:hAnsi="Times New Roman"/>
          <w:sz w:val="18"/>
          <w:szCs w:val="18"/>
          <w:color w:val="auto"/>
        </w:rPr>
        <w:t>Research and Development Services: Under the Original Asset Purchase Agreement, research and development services (PPQ services) are transferred over time, and recorded using as a cost-based input method of progress under service revenue – related party.</w:t>
      </w:r>
    </w:p>
    <w:p>
      <w:pPr>
        <w:spacing w:after="0" w:line="176" w:lineRule="exact"/>
        <w:rPr>
          <w:sz w:val="20"/>
          <w:szCs w:val="20"/>
          <w:color w:val="auto"/>
        </w:rPr>
      </w:pPr>
    </w:p>
    <w:p>
      <w:pPr>
        <w:jc w:val="both"/>
        <w:ind w:left="500" w:right="59"/>
        <w:spacing w:after="0" w:line="261" w:lineRule="auto"/>
        <w:rPr>
          <w:sz w:val="20"/>
          <w:szCs w:val="20"/>
          <w:color w:val="auto"/>
        </w:rPr>
      </w:pPr>
      <w:r>
        <w:rPr>
          <w:rFonts w:ascii="Times New Roman" w:cs="Times New Roman" w:eastAsia="Times New Roman" w:hAnsi="Times New Roman"/>
          <w:sz w:val="18"/>
          <w:szCs w:val="18"/>
          <w:color w:val="auto"/>
        </w:rPr>
        <w:t>Manufacturing Supply Services: Arrangements that include a promise for future supply of drug substance or drug product for either clinical development or commercial supply at the customer’s discretion are generally considered options. The Company assesses if these options provide a material right to the licensee and if so, they are accounted for as separate performance obligations at the outset of the arrangement.</w:t>
      </w:r>
    </w:p>
    <w:p>
      <w:pPr>
        <w:spacing w:after="0" w:line="180"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Customer Options: Customer options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500" w:right="5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These costs include, but are not limited to, employee-related expenses, including salaries, benefits and travel of the Company’s research and development personnel; expenses incurred under agreements with contract research organizations and investigative sites that conduct clinical and preclinical studies and for the drug product for the clinical studies and preclinical activities;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59"/>
        <w:spacing w:after="0" w:line="266" w:lineRule="auto"/>
        <w:rPr>
          <w:sz w:val="20"/>
          <w:szCs w:val="20"/>
          <w:color w:val="auto"/>
        </w:rPr>
      </w:pPr>
      <w:r>
        <w:rPr>
          <w:rFonts w:ascii="Times New Roman" w:cs="Times New Roman" w:eastAsia="Times New Roman" w:hAnsi="Times New Roman"/>
          <w:sz w:val="18"/>
          <w:szCs w:val="18"/>
          <w:color w:val="auto"/>
        </w:rPr>
        <w:t>facilities; supplies; rent, insurance, certain legal fees, share-based compensation, depreciation and other costs associated with clinical and preclinical activities and regulatory operations. Research funding under collaboration agreements and refundable research and development credits / tax credits are recorded as an offset to these costs.</w:t>
      </w:r>
    </w:p>
    <w:p>
      <w:pPr>
        <w:spacing w:after="0" w:line="176"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Costs for certain development activities, such as Company funded outside research programs, are recognized based on an evaluation of the progress to completion of specific tasks with respect to their actual costs incurred. Payments for these activities are based on the terms of the individual arrangements, which may differ from the pattern of costs incurred, and are reflected in the condensed consolidated financial statements as prepaid or accrued research and development expenses, as the case may be.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9" w:lineRule="exact"/>
        <w:rPr>
          <w:sz w:val="20"/>
          <w:szCs w:val="20"/>
          <w:color w:val="auto"/>
        </w:rPr>
      </w:pPr>
    </w:p>
    <w:p>
      <w:pPr>
        <w:jc w:val="both"/>
        <w:ind w:left="50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shares under the cost method. Treasury shares represent the Company’s ordinary shares that have been issued and subsequently reacquired by the Company. The shares are recorded at cost as a reduction of shareholders’ equity in the condensed consolidated balance sheets.</w:t>
      </w:r>
    </w:p>
    <w:p>
      <w:pPr>
        <w:spacing w:after="0" w:line="176" w:lineRule="exact"/>
        <w:rPr>
          <w:sz w:val="20"/>
          <w:szCs w:val="20"/>
          <w:color w:val="auto"/>
        </w:rPr>
      </w:pPr>
    </w:p>
    <w:p>
      <w:pPr>
        <w:jc w:val="both"/>
        <w:ind w:left="500" w:right="79"/>
        <w:spacing w:after="0" w:line="282" w:lineRule="auto"/>
        <w:rPr>
          <w:sz w:val="20"/>
          <w:szCs w:val="20"/>
          <w:color w:val="auto"/>
        </w:rPr>
      </w:pPr>
      <w:r>
        <w:rPr>
          <w:rFonts w:ascii="Times New Roman" w:cs="Times New Roman" w:eastAsia="Times New Roman" w:hAnsi="Times New Roman"/>
          <w:sz w:val="18"/>
          <w:szCs w:val="18"/>
          <w:color w:val="auto"/>
        </w:rPr>
        <w:t>Treasury shares are held by the Company and may be reissued in the future; accordingly, they are not retired or cancelled upon repurchase.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229" w:lineRule="exact"/>
        <w:rPr>
          <w:sz w:val="20"/>
          <w:szCs w:val="20"/>
          <w:color w:val="auto"/>
        </w:rPr>
      </w:pPr>
    </w:p>
    <w:p>
      <w:pPr>
        <w:jc w:val="both"/>
        <w:ind w:left="500" w:right="59"/>
        <w:spacing w:after="0" w:line="255" w:lineRule="auto"/>
        <w:rPr>
          <w:sz w:val="20"/>
          <w:szCs w:val="20"/>
          <w:color w:val="auto"/>
        </w:rPr>
      </w:pPr>
      <w:r>
        <w:rPr>
          <w:rFonts w:ascii="Times New Roman" w:cs="Times New Roman" w:eastAsia="Times New Roman" w:hAnsi="Times New Roman"/>
          <w:sz w:val="18"/>
          <w:szCs w:val="18"/>
          <w:color w:val="auto"/>
        </w:rPr>
        <w:t>Basic net loss per ordinary share is computed by dividing net loss by the weighted average number of shares of the Company’s ordinary shares assumed to be outstanding during the period of computation. Diluted net loss per ordinary share is computed similar to basic net loss per share except that the denominator is increased to include the number of additional ordinary shares that would have been outstanding if the potential ordinary share equivalents had been issued at the beginning of the year and if the additional ordinary shares were dilutive (treasury stock method). For all periods presented, basic and diluted net loss per ordinary share are the same, as any additional ordinary share equivalents would be anti-dilutive.</w:t>
      </w:r>
    </w:p>
    <w:p>
      <w:pPr>
        <w:spacing w:after="0" w:line="189"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The following securities are considered to be ordinary share equivalents, but were not included in the computation of diluted net loss per ordinary share because to do so would have been anti-dilutive:</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ind w:left="44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tcPr>
          <w:p>
            <w:pPr>
              <w:ind w:left="44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7,548,411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8,022,989</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4,570,000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3,389,750</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12,818,411</w:t>
            </w:r>
          </w:p>
        </w:tc>
        <w:tc>
          <w:tcPr>
            <w:tcW w:w="2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12,112,739</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and operating segment, which is the development and manufacturing of genetic medicines, for purposes of reporting financial condition and results of operations. The Company’s chief operating decision maker (“CODM”) is the chief executive officer.</w:t>
      </w:r>
    </w:p>
    <w:p>
      <w:pPr>
        <w:spacing w:after="0" w:line="183" w:lineRule="exact"/>
        <w:rPr>
          <w:sz w:val="20"/>
          <w:szCs w:val="20"/>
          <w:color w:val="auto"/>
        </w:rPr>
      </w:pPr>
    </w:p>
    <w:p>
      <w:pPr>
        <w:jc w:val="both"/>
        <w:ind w:left="500" w:right="59"/>
        <w:spacing w:after="0" w:line="261" w:lineRule="auto"/>
        <w:rPr>
          <w:sz w:val="20"/>
          <w:szCs w:val="20"/>
          <w:color w:val="auto"/>
        </w:rPr>
      </w:pPr>
      <w:r>
        <w:rPr>
          <w:rFonts w:ascii="Times New Roman" w:cs="Times New Roman" w:eastAsia="Times New Roman" w:hAnsi="Times New Roman"/>
          <w:sz w:val="18"/>
          <w:szCs w:val="18"/>
          <w:color w:val="auto"/>
        </w:rPr>
        <w:t>The accounting policies of its segment are the same as those described in the summary of significant accounting policies. The CODM allocates resources and assesses performance of the Company’s single reportable segment by regularly reviewing the segment net loss that also is reported on the condensed consolidated statement of operations and comprehensive loss as net loss.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right="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the Company’s single reportable segment and the significant expenses reviewed by the CODM, including a reconciliation to net loss (in thousands):</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tcBorders>
              <w:top w:val="single" w:sz="8" w:color="auto"/>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Three-Month Periods Ended March 31,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 - related party</w:t>
            </w:r>
          </w:p>
        </w:tc>
        <w:tc>
          <w:tcPr>
            <w:tcW w:w="300" w:type="dxa"/>
            <w:vAlign w:val="bottom"/>
          </w:tcPr>
          <w:p>
            <w:pPr>
              <w:spacing w:after="0"/>
              <w:rPr>
                <w:sz w:val="18"/>
                <w:szCs w:val="18"/>
                <w:color w:val="auto"/>
              </w:rPr>
            </w:pPr>
          </w:p>
        </w:tc>
        <w:tc>
          <w:tcPr>
            <w:tcW w:w="1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8"/>
                <w:szCs w:val="18"/>
                <w:color w:val="auto"/>
              </w:rPr>
            </w:pP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Cost of service revenue - related</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party</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Clinical programs: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AAV-hAQP1</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AAV-GAD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ocular diseases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Manufacturing</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Preclinical programs: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 regulation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Neurodegenerative diseases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Ocular diseases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line="216" w:lineRule="exact"/>
              <w:rPr>
                <w:sz w:val="20"/>
                <w:szCs w:val="20"/>
                <w:color w:val="auto"/>
              </w:rPr>
            </w:pPr>
            <w:r>
              <w:rPr>
                <w:rFonts w:ascii="Times New Roman" w:cs="Times New Roman" w:eastAsia="Times New Roman" w:hAnsi="Times New Roman"/>
                <w:sz w:val="17"/>
                <w:szCs w:val="17"/>
                <w:color w:val="auto"/>
              </w:rPr>
              <w:t>Other research and development</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(39,981)</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(46,313)</w:t>
            </w:r>
          </w:p>
        </w:tc>
        <w:tc>
          <w:tcPr>
            <w:tcW w:w="300" w:type="dxa"/>
            <w:vAlign w:val="bottom"/>
            <w:gridSpan w:val="2"/>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(39,981)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-2956560</wp:posOffset>
            </wp:positionV>
            <wp:extent cx="451739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178" w:lineRule="exact"/>
        <w:rPr>
          <w:sz w:val="20"/>
          <w:szCs w:val="20"/>
          <w:color w:val="auto"/>
        </w:rPr>
      </w:pPr>
    </w:p>
    <w:p>
      <w:pPr>
        <w:ind w:left="500" w:right="79" w:hanging="10"/>
        <w:spacing w:after="0" w:line="208" w:lineRule="auto"/>
        <w:tabs>
          <w:tab w:leader="none" w:pos="601"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research and development is comprised of all other costs including payroll and payroll related costs, travel, rent and facilities costs and other non-program specific expenses.</w:t>
      </w:r>
    </w:p>
    <w:p>
      <w:pPr>
        <w:spacing w:after="0" w:line="123" w:lineRule="exact"/>
        <w:rPr>
          <w:sz w:val="20"/>
          <w:szCs w:val="20"/>
          <w:color w:val="auto"/>
        </w:rPr>
      </w:pPr>
    </w:p>
    <w:p>
      <w:pPr>
        <w:ind w:left="600" w:hanging="110"/>
        <w:spacing w:after="0"/>
        <w:tabs>
          <w:tab w:leader="none" w:pos="60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segment items is comprised of foreign currency gain (loss), interest income, and interest expense.</w:t>
      </w:r>
    </w:p>
    <w:p>
      <w:pPr>
        <w:spacing w:after="0" w:line="198" w:lineRule="exact"/>
        <w:rPr>
          <w:sz w:val="20"/>
          <w:szCs w:val="20"/>
          <w:color w:val="auto"/>
        </w:rPr>
      </w:pPr>
    </w:p>
    <w:p>
      <w:pPr>
        <w:ind w:left="500" w:right="679"/>
        <w:spacing w:after="0" w:line="282" w:lineRule="auto"/>
        <w:rPr>
          <w:sz w:val="20"/>
          <w:szCs w:val="20"/>
          <w:color w:val="auto"/>
        </w:rPr>
      </w:pPr>
      <w:r>
        <w:rPr>
          <w:rFonts w:ascii="Times New Roman" w:cs="Times New Roman" w:eastAsia="Times New Roman" w:hAnsi="Times New Roman"/>
          <w:sz w:val="18"/>
          <w:szCs w:val="18"/>
          <w:color w:val="auto"/>
        </w:rPr>
        <w:t>The Company’s service revenue – related party and deferred revenue – related party from the Asset Purchase Agreement and related agreements were generated in the United Kingdom.</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long-lived assets by geographical area (in thousands):</w:t>
      </w:r>
    </w:p>
    <w:p>
      <w:pPr>
        <w:spacing w:after="0" w:line="100"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w:t>
            </w: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107,589</w:t>
            </w:r>
          </w:p>
        </w:tc>
      </w:tr>
      <w:tr>
        <w:trPr>
          <w:trHeight w:val="209"/>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138,022</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142,511</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w:t>
      </w:r>
    </w:p>
    <w:p>
      <w:pPr>
        <w:spacing w:after="0" w:line="227" w:lineRule="exact"/>
        <w:rPr>
          <w:sz w:val="20"/>
          <w:szCs w:val="20"/>
          <w:color w:val="auto"/>
        </w:rPr>
      </w:pPr>
    </w:p>
    <w:p>
      <w:pPr>
        <w:jc w:val="both"/>
        <w:ind w:left="460" w:right="5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2026, the Company adopted ASU 2025-05, </w:t>
      </w:r>
      <w:r>
        <w:rPr>
          <w:rFonts w:ascii="Times New Roman" w:cs="Times New Roman" w:eastAsia="Times New Roman" w:hAnsi="Times New Roman"/>
          <w:sz w:val="18"/>
          <w:szCs w:val="18"/>
          <w:i w:val="1"/>
          <w:iCs w:val="1"/>
          <w:color w:val="auto"/>
        </w:rPr>
        <w:t>Financial Instrument – Credit Losses (ASC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which provides targeted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accounting for credit losses. The adoption of this standard did not have a material impact on the Company’s condensed consolidated financial statements or related disclosures.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jc w:val="both"/>
        <w:ind w:left="460" w:right="5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 Expense Disaggregation Disclosures (Subtopic 220-40), which requires public business entities to disclose additional information about specific expense categories in the notes to financial statements at interim and annual reporting periods. In January 2025, the FASB issued ASU No. 2025-01, Clarifying the effective date, which revised the effective date of ASU No. 2024-03 for interim periods. The guidance is effective for annual periods beginning after December 15, 2026, and interim periods within fiscal years beginning after December 15, 2027. The Company is currently assessing the impact of ASU 2024-03 and ASU 2025-01 on its condensed consolidated financial statements.</w:t>
      </w:r>
    </w:p>
    <w:p>
      <w:pPr>
        <w:spacing w:after="0" w:line="189" w:lineRule="exact"/>
        <w:rPr>
          <w:sz w:val="20"/>
          <w:szCs w:val="20"/>
          <w:color w:val="auto"/>
        </w:rPr>
      </w:pPr>
    </w:p>
    <w:p>
      <w:pPr>
        <w:jc w:val="both"/>
        <w:ind w:left="460" w:right="59"/>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2025-07, Derivatives and Hedging (ASC 815) and Revenue from Contracts with Customers (ASC 606): Derivative Scope Refinements and Scope Clarification for Share-Based Noncash Consideration from a Customer in a Revenue Contract, which refines the scope of ASC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ASC 606 for share-based payments from a customer in a revenue contract. The guidance is effective for annual periods beginning after December 15, 2026 and interim periods within those annual reporting periods. The Company does not expect any significant impact on its financial condition or results of operations upon adoption.</w:t>
      </w:r>
    </w:p>
    <w:p>
      <w:pPr>
        <w:spacing w:after="0" w:line="188" w:lineRule="exact"/>
        <w:rPr>
          <w:sz w:val="20"/>
          <w:szCs w:val="20"/>
          <w:color w:val="auto"/>
        </w:rPr>
      </w:pPr>
    </w:p>
    <w:p>
      <w:pPr>
        <w:jc w:val="both"/>
        <w:ind w:left="460" w:right="59"/>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(ASC 832): Accounting for Government Grants Received by Business Entities. This update establishes guidance on the recognition, measurement, and presentation of government grants received by business entities. The new guidance leverages the principles in the accounting framework for government assistance in International Accounting Standard 20 “Accounting for Government Grants and Disclosure of Government Assistance.” The guidance is effective for interim periods within annual reporting periods beginning after December 15, 2028. Early adoption is permitted. The Company is currently evaluating the impact of ASU 2025-10 on its condensed consolidated financial statements and related disclosures.</w:t>
      </w:r>
    </w:p>
    <w:p>
      <w:pPr>
        <w:spacing w:after="0" w:line="189" w:lineRule="exact"/>
        <w:rPr>
          <w:sz w:val="20"/>
          <w:szCs w:val="20"/>
          <w:color w:val="auto"/>
        </w:rPr>
      </w:pPr>
    </w:p>
    <w:p>
      <w:pPr>
        <w:jc w:val="both"/>
        <w:ind w:left="460" w:right="59"/>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(ASC 270) Narrow-Scope Improvements. This update clarifies interim disclosure requirements, including providing a comprehensive list of interim disclosure requirements under U.S. GAAP and a disclosure principle that requires entities to disclose events since the last annual reporting period that have a material impact on the entity. The guidance is effective for interim periods within annual reporting periods beginning after December 15, 2027. Early adoption is permitted. The Company does not expect any significant impact on its financial condition or results of operations upon adoption.</w:t>
      </w:r>
    </w:p>
    <w:p>
      <w:pPr>
        <w:spacing w:after="0" w:line="185" w:lineRule="exact"/>
        <w:rPr>
          <w:sz w:val="20"/>
          <w:szCs w:val="20"/>
          <w:color w:val="auto"/>
        </w:rPr>
      </w:pPr>
    </w:p>
    <w:p>
      <w:pPr>
        <w:jc w:val="both"/>
        <w:ind w:left="500" w:right="59" w:firstLine="37"/>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to update, correct, clarify and otherwise improve U.S. GAAP. The guidance is effective for annual reporting periods beginning after December 15, 2026, and for interim periods within those annual reporting periods. Early adoption is permitted as of the beginning of an annual reporting period and adoption can be applied prospectively or retrospectively, as well as on an issue-by-issue basis. The Company does not expect any significant impact on its financial condition or results of operations upon adoption.</w:t>
      </w:r>
    </w:p>
    <w:p>
      <w:pPr>
        <w:spacing w:after="0" w:line="180" w:lineRule="exact"/>
        <w:rPr>
          <w:sz w:val="20"/>
          <w:szCs w:val="20"/>
          <w:color w:val="auto"/>
        </w:rPr>
      </w:pPr>
    </w:p>
    <w:p>
      <w:pPr>
        <w:ind w:left="500" w:hanging="450"/>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and Other Investments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investments consist of the following (in thousands):</w:t>
      </w:r>
    </w:p>
    <w:p>
      <w:pPr>
        <w:spacing w:after="0" w:line="235"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Investee</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Pr>
          <w:p>
            <w:pPr>
              <w:spacing w:after="0"/>
              <w:rPr>
                <w:sz w:val="20"/>
                <w:szCs w:val="20"/>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​Ownership Percentage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0" w:type="dxa"/>
            <w:vAlign w:val="bottom"/>
          </w:tcPr>
          <w:p>
            <w:pPr>
              <w:spacing w:after="0"/>
              <w:rPr>
                <w:sz w:val="1"/>
                <w:szCs w:val="1"/>
                <w:color w:val="auto"/>
              </w:rPr>
            </w:pPr>
          </w:p>
        </w:tc>
      </w:tr>
      <w:tr>
        <w:trPr>
          <w:trHeight w:val="209"/>
        </w:trPr>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Visiogene LLC</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5,133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16"/>
        </w:trPr>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78"/>
        </w:trPr>
        <w:tc>
          <w:tcPr>
            <w:tcW w:w="16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equity method</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6,749</w:t>
            </w:r>
          </w:p>
        </w:tc>
        <w:tc>
          <w:tcPr>
            <w:tcW w:w="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0" w:type="dxa"/>
            <w:vAlign w:val="bottom"/>
          </w:tcPr>
          <w:p>
            <w:pPr>
              <w:spacing w:after="0"/>
              <w:rPr>
                <w:sz w:val="1"/>
                <w:szCs w:val="1"/>
                <w:color w:val="auto"/>
              </w:rPr>
            </w:pPr>
          </w:p>
        </w:tc>
      </w:tr>
      <w:tr>
        <w:trPr>
          <w:trHeight w:val="221"/>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investments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Investee</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jc w:val="right"/>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​Ownership Percentage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6"/>
                <w:szCs w:val="16"/>
                <w:b w:val="1"/>
                <w:bCs w:val="1"/>
                <w:color w:val="auto"/>
              </w:rPr>
              <w:t>Carrying Value</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Visiogene LLC</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78"/>
        </w:trPr>
        <w:tc>
          <w:tcPr>
            <w:tcW w:w="1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equity method</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6,749</w:t>
            </w:r>
          </w:p>
        </w:tc>
        <w:tc>
          <w:tcPr>
            <w:tcW w:w="3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investments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for the periods presented are comprised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4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Tranche 1 Notes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73"/>
              </w:rPr>
              <w:t>5.</w:t>
            </w:r>
          </w:p>
        </w:tc>
        <w:tc>
          <w:tcPr>
            <w:tcW w:w="3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vMerge w:val="continue"/>
          </w:tcPr>
          <w:p>
            <w:pPr>
              <w:spacing w:after="0"/>
              <w:rPr>
                <w:sz w:val="24"/>
                <w:szCs w:val="24"/>
                <w:color w:val="auto"/>
              </w:rPr>
            </w:pPr>
          </w:p>
        </w:tc>
        <w:tc>
          <w:tcPr>
            <w:tcW w:w="33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current liabilities for the periods presented are comprised of the following (in thousands):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from Hologen</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9"/>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105,108</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50,283</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jc w:val="both"/>
        <w:ind w:left="460" w:right="59"/>
        <w:spacing w:after="0" w:line="255" w:lineRule="auto"/>
        <w:rPr>
          <w:sz w:val="20"/>
          <w:szCs w:val="20"/>
          <w:color w:val="auto"/>
        </w:rPr>
      </w:pPr>
      <w:r>
        <w:rPr>
          <w:rFonts w:ascii="Times New Roman" w:cs="Times New Roman" w:eastAsia="Times New Roman" w:hAnsi="Times New Roman"/>
          <w:sz w:val="18"/>
          <w:szCs w:val="18"/>
          <w:color w:val="auto"/>
        </w:rPr>
        <w:t>Current liabilities include $105.0 million related to advance payments received from Hologen in connection with the strategic collaboration. These amounts represent non-refundable upfront payments received prior to the Hologen Initial Closing Date as described in Note 1.</w:t>
      </w:r>
    </w:p>
    <w:p>
      <w:pPr>
        <w:spacing w:after="0" w:line="182" w:lineRule="exact"/>
        <w:rPr>
          <w:sz w:val="20"/>
          <w:szCs w:val="20"/>
          <w:color w:val="auto"/>
        </w:rPr>
      </w:pPr>
    </w:p>
    <w:p>
      <w:pPr>
        <w:ind w:left="500" w:right="6399" w:hanging="450"/>
        <w:spacing w:after="0" w:line="532" w:lineRule="auto"/>
        <w:tabs>
          <w:tab w:leader="none" w:pos="51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b w:val="1"/>
          <w:bCs w:val="1"/>
          <w:i w:val="1"/>
          <w:iCs w:val="1"/>
          <w:color w:val="auto"/>
        </w:rPr>
        <w:t>Equity Incentive Plans</w:t>
      </w:r>
    </w:p>
    <w:p>
      <w:pPr>
        <w:spacing w:after="0" w:line="1" w:lineRule="exact"/>
        <w:rPr>
          <w:rFonts w:ascii="Times New Roman" w:cs="Times New Roman" w:eastAsia="Times New Roman" w:hAnsi="Times New Roman"/>
          <w:sz w:val="17"/>
          <w:szCs w:val="17"/>
          <w:b w:val="1"/>
          <w:bCs w:val="1"/>
          <w:color w:val="auto"/>
        </w:rPr>
      </w:pPr>
    </w:p>
    <w:p>
      <w:pPr>
        <w:jc w:val="both"/>
        <w:ind w:left="500" w:right="59"/>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2018 Incentive Award Plan and 2016 Equity Incentive Plan (collectively, the “Plans”) were adopted by the Company’s board of directors and shareholders. Under the Plans, the Company has granted share options and restricted share units (“RSUs”) to selected officers, employees, non-employee members of the board of directors and non-employee consultants. The Company’s board of directors or a committee thereof administers the Plans. Upon the adoption of the 2018 Incentive Award Plan, the Company ceased issuing awards under the 2016 Equity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left="500" w:right="59"/>
        <w:spacing w:after="0" w:line="266" w:lineRule="auto"/>
        <w:rPr>
          <w:sz w:val="20"/>
          <w:szCs w:val="20"/>
          <w:color w:val="auto"/>
        </w:rPr>
      </w:pPr>
      <w:r>
        <w:rPr>
          <w:rFonts w:ascii="Times New Roman" w:cs="Times New Roman" w:eastAsia="Times New Roman" w:hAnsi="Times New Roman"/>
          <w:sz w:val="18"/>
          <w:szCs w:val="18"/>
          <w:color w:val="auto"/>
        </w:rPr>
        <w:t>A summary of the Company’s share option activity related to employees, non-employee members of the board of directors and non-employee consultants as of December 31, 2025 and for the three-month period ended March 31, 2026 is as follows (in thousands, except share and per share amounts):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7,859,338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7,548,411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6,930,800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12.82</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Options vested and expected to vest at</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7,548,411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1"/>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right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Aggregate intrinsic value of options outstanding as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tcBorders>
              <w:right w:val="single" w:sz="8" w:color="CCEEFF"/>
            </w:tcBorders>
            <w:vMerge w:val="continue"/>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March 31, 2026</w:t>
            </w: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Aggregate intrinsic value of options exercisable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March 31, 2026</w:t>
            </w:r>
          </w:p>
        </w:tc>
        <w:tc>
          <w:tcPr>
            <w:tcW w:w="1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Options granted under the Plans have a maximum contractual term of ten years. Options granted generally vest 25% on the first anniversary of the date of grant and the balance ratably over the next 36 months. Options granted to directors when they join the board generally vest in 36 equal monthly installments following the date of grant, and annual options granted to directors generally vest on the earlier of the first anniversary of the date of grant or the day before the Company’s annual meeting of shareholders after the date of grant.</w:t>
      </w:r>
    </w:p>
    <w:p>
      <w:pPr>
        <w:spacing w:after="0" w:line="183"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The Company recorded the following share-based compensation expense in connection with the options for the three-month periods ended March 31, 2026 and 2025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Three-Month Periods Ended March 31,</w:t>
            </w: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18"/>
                <w:szCs w:val="18"/>
                <w:color w:val="auto"/>
              </w:rPr>
            </w:pP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right="79"/>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during the three-month periods ended March 31, 2026 and 2025 was $0.8 million and $2.0 million,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options granted during the three-month periods ended March 31, 2026 and 2025.</w:t>
      </w:r>
    </w:p>
    <w:p>
      <w:pPr>
        <w:spacing w:after="0" w:line="225" w:lineRule="exact"/>
        <w:rPr>
          <w:sz w:val="20"/>
          <w:szCs w:val="20"/>
          <w:color w:val="auto"/>
        </w:rPr>
      </w:pPr>
    </w:p>
    <w:p>
      <w:pPr>
        <w:jc w:val="both"/>
        <w:ind w:left="500" w:right="79"/>
        <w:spacing w:after="0" w:line="266" w:lineRule="auto"/>
        <w:rPr>
          <w:sz w:val="20"/>
          <w:szCs w:val="20"/>
          <w:color w:val="auto"/>
        </w:rPr>
      </w:pPr>
      <w:r>
        <w:rPr>
          <w:rFonts w:ascii="Times New Roman" w:cs="Times New Roman" w:eastAsia="Times New Roman" w:hAnsi="Times New Roman"/>
          <w:sz w:val="18"/>
          <w:szCs w:val="18"/>
          <w:color w:val="auto"/>
        </w:rPr>
        <w:t>As of March 31, 2026, the total compensation expense relating to unvested options granted that had not yet been recognized was $2.6 million, which is expected to be realized over a period of 3.2 years. The Company will issue shares upon exercise of options from ordinary shares reserved under the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500" w:right="59"/>
        <w:spacing w:after="0" w:line="266" w:lineRule="auto"/>
        <w:rPr>
          <w:sz w:val="20"/>
          <w:szCs w:val="20"/>
          <w:color w:val="auto"/>
        </w:rPr>
      </w:pPr>
      <w:r>
        <w:rPr>
          <w:rFonts w:ascii="Times New Roman" w:cs="Times New Roman" w:eastAsia="Times New Roman" w:hAnsi="Times New Roman"/>
          <w:sz w:val="18"/>
          <w:szCs w:val="18"/>
          <w:color w:val="auto"/>
        </w:rPr>
        <w:t>A summary of the Company’s RSU activity related to employees, non-employee members of the board of directors and non-employee consultants as of December 31, 2025 and for the three-month period ended March 31, 2026 is as follows: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20" w:type="dxa"/>
            <w:vAlign w:val="bottom"/>
          </w:tcPr>
          <w:p>
            <w:pPr>
              <w:spacing w:after="0"/>
              <w:rPr>
                <w:sz w:val="20"/>
                <w:szCs w:val="20"/>
                <w:color w:val="auto"/>
              </w:rPr>
            </w:pPr>
          </w:p>
        </w:tc>
        <w:tc>
          <w:tcPr>
            <w:tcW w:w="47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Units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6,184,250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(1,614,250)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right="59"/>
        <w:spacing w:after="0" w:line="253" w:lineRule="auto"/>
        <w:rPr>
          <w:sz w:val="20"/>
          <w:szCs w:val="20"/>
          <w:color w:val="auto"/>
        </w:rPr>
      </w:pPr>
      <w:r>
        <w:rPr>
          <w:rFonts w:ascii="Times New Roman" w:cs="Times New Roman" w:eastAsia="Times New Roman" w:hAnsi="Times New Roman"/>
          <w:sz w:val="18"/>
          <w:szCs w:val="18"/>
          <w:color w:val="auto"/>
        </w:rPr>
        <w:t>RSUs granted generally vest 50% on the second anniversary of the date of grant and 25% on the third and fourth anniversaries of the date of grant. Annual RSUs granted to directors generally vest in a single installment on the earliest to occur of the first anniversary of the grant date or the day immediately prior to the date of the next annual meeting of the Company’s shareholders occurring after the date of grant. The RSUs granted to the directors in June 2021 will be paid on or within 30 days after the date a director ceases to serve on the board. For RSUs granted in June 2022 and future years, the directors may annually elect whether to defer the payment of their annual RSU awards under the Deferred Compensation Plan for Non-Employee Directors, which was adopted by the board on December 17, 2021. As of March 31, 2026, there were 497,500 vested shares that have been deferred and are excluded from ordinary shares outstanding. The related share-based compensation expense, which is recognized ratably over the requisite service period, is included in general and administrative and research and development expenses, as applicable, in the condensed consolidated statements of operations and comprehensive loss.</w:t>
      </w:r>
    </w:p>
    <w:p>
      <w:pPr>
        <w:spacing w:after="0" w:line="192" w:lineRule="exact"/>
        <w:rPr>
          <w:sz w:val="20"/>
          <w:szCs w:val="20"/>
          <w:color w:val="auto"/>
        </w:rPr>
      </w:pPr>
    </w:p>
    <w:p>
      <w:pPr>
        <w:jc w:val="both"/>
        <w:ind w:left="500" w:right="59"/>
        <w:spacing w:after="0" w:line="282" w:lineRule="auto"/>
        <w:rPr>
          <w:sz w:val="20"/>
          <w:szCs w:val="20"/>
          <w:color w:val="auto"/>
        </w:rPr>
      </w:pPr>
      <w:r>
        <w:rPr>
          <w:rFonts w:ascii="Times New Roman" w:cs="Times New Roman" w:eastAsia="Times New Roman" w:hAnsi="Times New Roman"/>
          <w:sz w:val="18"/>
          <w:szCs w:val="18"/>
          <w:color w:val="auto"/>
        </w:rPr>
        <w:t>The Company recorded the following share-based compensation expense in connection with the RSUs for the three-month periods ended March 31, 2026 and 2025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Three-Month Periods Ended March 31,</w:t>
            </w: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18"/>
                <w:szCs w:val="18"/>
                <w:color w:val="auto"/>
              </w:rPr>
            </w:pP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right="79"/>
        <w:spacing w:after="0" w:line="261" w:lineRule="auto"/>
        <w:rPr>
          <w:sz w:val="20"/>
          <w:szCs w:val="20"/>
          <w:color w:val="auto"/>
        </w:rPr>
      </w:pPr>
      <w:r>
        <w:rPr>
          <w:rFonts w:ascii="Times New Roman" w:cs="Times New Roman" w:eastAsia="Times New Roman" w:hAnsi="Times New Roman"/>
          <w:sz w:val="18"/>
          <w:szCs w:val="18"/>
          <w:color w:val="auto"/>
        </w:rPr>
        <w:t>As of March 31, 2026, the total compensation expense relating to unvested RSUs granted that had not yet been recognized was $21.7 million, which is expected to be realized over a period of 3.0 years. As of March 31, 2025, the total compensation expense relating to unvested RSUs granted that had not yet been recognized was $18.5 million, which is expected to be realized over a period of 3.1 years.</w:t>
      </w:r>
    </w:p>
    <w:p>
      <w:pPr>
        <w:spacing w:after="0" w:line="180" w:lineRule="exact"/>
        <w:rPr>
          <w:sz w:val="20"/>
          <w:szCs w:val="20"/>
          <w:color w:val="auto"/>
        </w:rPr>
      </w:pPr>
    </w:p>
    <w:p>
      <w:pPr>
        <w:jc w:val="both"/>
        <w:ind w:left="500" w:right="59"/>
        <w:spacing w:after="0" w:line="258" w:lineRule="auto"/>
        <w:rPr>
          <w:sz w:val="20"/>
          <w:szCs w:val="20"/>
          <w:color w:val="auto"/>
        </w:rPr>
      </w:pPr>
      <w:r>
        <w:rPr>
          <w:rFonts w:ascii="Times New Roman" w:cs="Times New Roman" w:eastAsia="Times New Roman" w:hAnsi="Times New Roman"/>
          <w:sz w:val="18"/>
          <w:szCs w:val="18"/>
          <w:color w:val="auto"/>
        </w:rPr>
        <w:t>To satisfy employee minimum statutory tax withholding requirements for restricted share units that vest, the Company withholds a portion of the vested ordinary shares. During the three months ended March 31, 2026 and 2025, the Company withheld 798,155 and 405,459 ordinary shares with a total value of $6.0 million and $2.8 million, respectively. These amounts are presented as a cash outflow from financing activities in the accompanying condensed consolidated statement of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00" w:right="79"/>
        <w:spacing w:after="0" w:line="266"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recognized total share-based compensation expense in the accompanying condensed consolidated statements of operations and comprehensive loss as follows (in thousands):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Three-Month Periods Ended March 31,</w:t>
            </w: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18"/>
                <w:szCs w:val="18"/>
                <w:color w:val="auto"/>
              </w:rPr>
            </w:pP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right="59" w:hanging="38"/>
        <w:spacing w:after="0" w:line="258" w:lineRule="auto"/>
        <w:rPr>
          <w:sz w:val="20"/>
          <w:szCs w:val="20"/>
          <w:color w:val="auto"/>
        </w:rPr>
      </w:pPr>
      <w:r>
        <w:rPr>
          <w:rFonts w:ascii="Times New Roman" w:cs="Times New Roman" w:eastAsia="Times New Roman" w:hAnsi="Times New Roman"/>
          <w:sz w:val="18"/>
          <w:szCs w:val="18"/>
          <w:color w:val="auto"/>
        </w:rPr>
        <w:t>The Company does not expect to realize any tax benefits from its share option activity or the recognition of share-based compensation expense because the Company currently has net operating losses and has a full valuation allowance against its deferred tax assets. Accordingly, no amounts related to excess tax benefits have been reported in cash flows from operations or cash flows from financing activities for the three-month periods ended March 31, 2026 and 2025.</w:t>
      </w:r>
    </w:p>
    <w:p>
      <w:pPr>
        <w:spacing w:after="0" w:line="179" w:lineRule="exact"/>
        <w:rPr>
          <w:sz w:val="20"/>
          <w:szCs w:val="20"/>
          <w:color w:val="auto"/>
        </w:rPr>
      </w:pPr>
    </w:p>
    <w:p>
      <w:pPr>
        <w:ind w:left="500" w:hanging="450"/>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44"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At-the-Market</w:t>
      </w:r>
    </w:p>
    <w:p>
      <w:pPr>
        <w:spacing w:after="0" w:line="94" w:lineRule="exact"/>
        <w:rPr>
          <w:rFonts w:ascii="Times New Roman" w:cs="Times New Roman" w:eastAsia="Times New Roman" w:hAnsi="Times New Roman"/>
          <w:sz w:val="18"/>
          <w:szCs w:val="18"/>
          <w:b w:val="1"/>
          <w:bCs w:val="1"/>
          <w:color w:val="auto"/>
        </w:rPr>
      </w:pPr>
    </w:p>
    <w:p>
      <w:pPr>
        <w:jc w:val="both"/>
        <w:ind w:left="500" w:right="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Company entered into an “at-the-market” sales agreement with BofA Securities, Inc., or BofA, pursuant to which the Company may sell from time to time, ordinary shares having an aggregate offering price of up to $100.0 million through BofA, acting as the Company’s agent. During the three-month periods ended March 31, 2026 and 2025, the Company raised gross proceeds of $14.0 million and $4.5 million, respectively, through the sale of 1,770,729 and 563,379 ordinary shares, respectively, pursuant to an “at-the-market” equity offering program. Under the “at-the-market” equity program which is currently effective and may remain available for the Company to use in the future, the Company may sell an additional $62.6 million of ordinary shares. Whether the Company chooses to affect future sales under the “at-the-market” equity offering program will depend on a number of factors, including, among others, market conditions and the trading price of the Company’s ordinary shares relative to other sources of capital.</w:t>
      </w:r>
    </w:p>
    <w:p>
      <w:pPr>
        <w:spacing w:after="0" w:line="284"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Treasury Shares</w:t>
      </w:r>
    </w:p>
    <w:p>
      <w:pPr>
        <w:spacing w:after="0" w:line="188" w:lineRule="exact"/>
        <w:rPr>
          <w:rFonts w:ascii="Times New Roman" w:cs="Times New Roman" w:eastAsia="Times New Roman" w:hAnsi="Times New Roman"/>
          <w:sz w:val="18"/>
          <w:szCs w:val="18"/>
          <w:b w:val="1"/>
          <w:bCs w:val="1"/>
          <w:color w:val="auto"/>
        </w:rPr>
      </w:pPr>
    </w:p>
    <w:p>
      <w:pPr>
        <w:jc w:val="both"/>
        <w:ind w:left="500" w:right="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31, 2025, the Company entered into a share purchase agreement to repurchase 2,300,000 of its ordinary shares from Perceptive Life Sciences Master Fund, Ltd., an affiliate of Perceptive Advisors LLC, at a purchase price of $7.91 per share, for an aggregate purchase price of $18.2 million. The repurchase transaction was completed on January 5, 2026, at which time the Company acquired the shares and recorded them as treasury shares, resulting in a reduction of shareholders’ equity.</w:t>
      </w:r>
    </w:p>
    <w:p>
      <w:pPr>
        <w:spacing w:after="0" w:line="179" w:lineRule="exact"/>
        <w:rPr>
          <w:rFonts w:ascii="Times New Roman" w:cs="Times New Roman" w:eastAsia="Times New Roman" w:hAnsi="Times New Roman"/>
          <w:sz w:val="18"/>
          <w:szCs w:val="18"/>
          <w:b w:val="1"/>
          <w:bCs w:val="1"/>
          <w:color w:val="auto"/>
        </w:rPr>
      </w:pPr>
    </w:p>
    <w:p>
      <w:pPr>
        <w:ind w:left="500" w:hanging="450"/>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0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record a provision for income taxes for the three-month periods ended March 31, 2026 and 2025, as the Company has generated losses for all periods.</w:t>
      </w:r>
    </w:p>
    <w:p>
      <w:pPr>
        <w:spacing w:after="0" w:line="161" w:lineRule="exact"/>
        <w:rPr>
          <w:rFonts w:ascii="Times New Roman" w:cs="Times New Roman" w:eastAsia="Times New Roman" w:hAnsi="Times New Roman"/>
          <w:sz w:val="18"/>
          <w:szCs w:val="18"/>
          <w:b w:val="1"/>
          <w:bCs w:val="1"/>
          <w:color w:val="auto"/>
        </w:rPr>
      </w:pPr>
    </w:p>
    <w:p>
      <w:pPr>
        <w:jc w:val="both"/>
        <w:ind w:left="500" w:right="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periodically evaluates the realizability of its deferred tax assets based on all available evidence, both positive and negative. The realization of deferred tax assets is dependent on the Company’s ability to generate sufficient future taxable income during periods prior to the expiration of tax attributes to fully utilize these assets. The Company weighed both positive and negative evidence and determined that there is a continued need for a full valuation allowance on its deferred tax assets (after consideration of the reversal of the deferred tax liabilities for the ROU assets and fixed assets) in the United States, United Kingdom, Ireland, France and Netherlands as of March 31, 2026. Should the Company determine that it would be able to realize its remaining deferred tax assets in the foreseeable future, an adjustment to its remaining deferred tax assets would cause a material increase to income in the period such determination is made.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0"/>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Relationship with Janssen Pharmaceuticals, Inc.</w:t>
      </w:r>
    </w:p>
    <w:p>
      <w:pPr>
        <w:spacing w:after="0" w:line="227" w:lineRule="exact"/>
        <w:rPr>
          <w:rFonts w:ascii="Times New Roman" w:cs="Times New Roman" w:eastAsia="Times New Roman" w:hAnsi="Times New Roman"/>
          <w:sz w:val="18"/>
          <w:szCs w:val="18"/>
          <w:b w:val="1"/>
          <w:bCs w:val="1"/>
          <w:color w:val="auto"/>
        </w:rPr>
      </w:pPr>
    </w:p>
    <w:p>
      <w:pPr>
        <w:jc w:val="both"/>
        <w:ind w:left="500" w:right="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20, 2023, the Company entered into the Original Asset Purchase Agreement with Janssen pursuant to which the Company sold and assigned certain rights related to the RPGR Product, as well as other related assets. At the same time, the Company entered into a Supply Agreement to manufacture and supply the RPGR Product for Janssen. Under the Original Asset Purchase Agreement, the Company received a non-refundable upfront payment of $65.0 million in December 2023 and, during 2024, received $60.0 million in milestone payments.</w:t>
      </w:r>
    </w:p>
    <w:p>
      <w:pPr>
        <w:spacing w:after="0" w:line="183" w:lineRule="exact"/>
        <w:rPr>
          <w:rFonts w:ascii="Times New Roman" w:cs="Times New Roman" w:eastAsia="Times New Roman" w:hAnsi="Times New Roman"/>
          <w:sz w:val="18"/>
          <w:szCs w:val="18"/>
          <w:b w:val="1"/>
          <w:bCs w:val="1"/>
          <w:color w:val="auto"/>
        </w:rPr>
      </w:pPr>
    </w:p>
    <w:p>
      <w:pPr>
        <w:jc w:val="both"/>
        <w:ind w:left="500" w:right="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agreements entered into in December 2023 were executed at the same time and were negotiated with a single commercial objective; therefore, they were combined and accounted for as a single contract. The transaction price included the upfront payment, milestone payments received, and other elements of variable consideration, and was allocated to the identified performance obligations, including technology transfer, manufacturing-related services and the transfer of intellectual property. Revenue has been recognized based on the satisfaction of these performance obligations, and, as of March 31, 2026, the aggregate transaction price allocated to unsatisfied performance obligations was $66.8 million.</w:t>
      </w:r>
    </w:p>
    <w:p>
      <w:pPr>
        <w:spacing w:after="0" w:line="188" w:lineRule="exact"/>
        <w:rPr>
          <w:rFonts w:ascii="Times New Roman" w:cs="Times New Roman" w:eastAsia="Times New Roman" w:hAnsi="Times New Roman"/>
          <w:sz w:val="18"/>
          <w:szCs w:val="18"/>
          <w:b w:val="1"/>
          <w:bCs w:val="1"/>
          <w:color w:val="auto"/>
        </w:rPr>
      </w:pPr>
    </w:p>
    <w:p>
      <w:pPr>
        <w:jc w:val="both"/>
        <w:ind w:left="500" w:right="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2026, the Company entered into an agreement to reacquire the RPGR Product from Janssen and terminate the Original Asset Purchase Agreement and the Supply Agreement. As a result, the remaining performance obligations and associated deferred revenue balances and outstanding accounts receivable balances as of March 31, 2026 are expected to be impacted by the termination and will not be recognized as originally anticipated. See Note 13 – Subsequent Events.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the deferred revenue is as follows (in thousands):</w:t>
      </w:r>
    </w:p>
    <w:p>
      <w:pPr>
        <w:spacing w:after="0" w:line="2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Deferred revenue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-119380</wp:posOffset>
            </wp:positionV>
            <wp:extent cx="45173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Other amounts collected or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17390" cy="274320"/>
                    </a:xfrm>
                    <a:prstGeom prst="rect">
                      <a:avLst/>
                    </a:prstGeom>
                    <a:noFill/>
                  </pic:spPr>
                </pic:pic>
              </a:graphicData>
            </a:graphic>
          </wp:anchor>
        </w:drawing>
      </w:r>
    </w:p>
    <w:p>
      <w:pPr>
        <w:ind w:left="940"/>
        <w:spacing w:after="0" w:line="255" w:lineRule="auto"/>
        <w:rPr>
          <w:sz w:val="20"/>
          <w:szCs w:val="20"/>
          <w:color w:val="auto"/>
        </w:rPr>
      </w:pPr>
      <w:r>
        <w:rPr>
          <w:rFonts w:ascii="Times New Roman" w:cs="Times New Roman" w:eastAsia="Times New Roman" w:hAnsi="Times New Roman"/>
          <w:sz w:val="18"/>
          <w:szCs w:val="18"/>
          <w:color w:val="auto"/>
        </w:rPr>
        <w:t>Deferred revenue recognized as service revenue during the three-month period ended March 31, 2026</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Deferred revenue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hanging="431"/>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66,896</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617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7" w:lineRule="exact"/>
        <w:rPr>
          <w:sz w:val="20"/>
          <w:szCs w:val="20"/>
          <w:color w:val="auto"/>
        </w:rPr>
      </w:pPr>
    </w:p>
    <w:p>
      <w:pPr>
        <w:ind w:left="440" w:hanging="431"/>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6172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600" w:space="480"/>
            <w:col w:w="1939"/>
          </w:cols>
          <w:pgMar w:left="1440" w:top="513" w:right="1440" w:bottom="1440" w:gutter="0" w:footer="0" w:header="0"/>
          <w:type w:val="continuous"/>
        </w:sectPr>
      </w:pPr>
    </w:p>
    <w:p>
      <w:pPr>
        <w:spacing w:after="0" w:line="52" w:lineRule="exact"/>
        <w:rPr>
          <w:sz w:val="20"/>
          <w:szCs w:val="20"/>
          <w:color w:val="auto"/>
        </w:rPr>
      </w:pPr>
    </w:p>
    <w:p>
      <w:pPr>
        <w:jc w:val="both"/>
        <w:ind w:left="500" w:right="59"/>
        <w:spacing w:after="0" w:line="266"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recognized $0.1 million and $0.7 million, respectively, of deferred revenue – related party as service revenue in connection with PPQ services under the Original Asset Purchase Agreement and related agreements.</w:t>
      </w:r>
    </w:p>
    <w:p>
      <w:pPr>
        <w:spacing w:after="0" w:line="149" w:lineRule="exact"/>
        <w:rPr>
          <w:sz w:val="20"/>
          <w:szCs w:val="20"/>
          <w:color w:val="auto"/>
        </w:rPr>
      </w:pPr>
    </w:p>
    <w:p>
      <w:pPr>
        <w:jc w:val="both"/>
        <w:ind w:left="500" w:right="59"/>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March 31, 2026 and 2025, the Company recognized $0.3 million and $1.9 million of service revenue, inclusive of the $0.1 million and $0.7 million, respectively, of deferred revenue – related party recognized as service revenue, based on cumulative progress of PPQ services under the Original Asset Purchase Agreement and related agreements.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9" w:lineRule="exact"/>
        <w:rPr>
          <w:sz w:val="20"/>
          <w:szCs w:val="20"/>
          <w:color w:val="auto"/>
        </w:rPr>
      </w:pPr>
    </w:p>
    <w:p>
      <w:pPr>
        <w:jc w:val="both"/>
        <w:ind w:left="460" w:right="59"/>
        <w:spacing w:after="0" w:line="253" w:lineRule="auto"/>
        <w:rPr>
          <w:sz w:val="20"/>
          <w:szCs w:val="20"/>
          <w:color w:val="auto"/>
        </w:rPr>
      </w:pPr>
      <w:r>
        <w:rPr>
          <w:rFonts w:ascii="Times New Roman" w:cs="Times New Roman" w:eastAsia="Times New Roman" w:hAnsi="Times New Roman"/>
          <w:sz w:val="18"/>
          <w:szCs w:val="18"/>
          <w:color w:val="auto"/>
        </w:rPr>
        <w:t>On August 2, 2022 the Company, as borrower, and Meira UK II and Meira Ireland, as guarantors (the “Subsidiary Guarantors”), entered into a senior secured financing arrangement (the “Financing Agreement”) by and among the Company, the Subsidiary Guarantors, the lenders and other parties from time to time party thereto and Perceptive Credit Holdings III, LP, as administrative agent and lender (“Perceptive”). On December 19, 2022, the Financing Agreement was converted to a notes purchase agreement and guaranty (the “Notes Purchase Agreement”) between the same parties and under substantially the same terms and conditions as the Financing Agreement, subject to certain customary note constitution terms. Pursuant to an amendment to the Notes Purchase Agreement entered into on March 25, 2026, the maturity date of the Notes Purchase Agreement was extended from August 2, 2026 to May 2, 2027 and the Company agreed to redeem a portion of the outstanding principal amount of the Tranche 1 Notes equal to $25.0 million on or before June 30, 2026. The parties also agreed to amend the warrants further described in Note 11 to change the exercise price to $8.00 per share. Pursuant to another amendment to the Notes Purchase Agreement</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60" w:right="59"/>
        <w:spacing w:after="0" w:line="258" w:lineRule="auto"/>
        <w:rPr>
          <w:sz w:val="20"/>
          <w:szCs w:val="20"/>
          <w:color w:val="auto"/>
        </w:rPr>
      </w:pPr>
      <w:r>
        <w:rPr>
          <w:rFonts w:ascii="Times New Roman" w:cs="Times New Roman" w:eastAsia="Times New Roman" w:hAnsi="Times New Roman"/>
          <w:sz w:val="18"/>
          <w:szCs w:val="18"/>
          <w:color w:val="auto"/>
        </w:rPr>
        <w:t>entered into on May 12, 2026, the maturity date of the Notes Purchase Agreement was extended from May 2, 2027 to July 1, 2027. Perceptive Advisors LLC, an affiliate of Perceptive, is a greater than 10% holder of the ordinary shares of the Company. Additionally, Ellen Hukkelhoven, Ph.D., a director of the Company, is an employee of Perceptive Advisors LLC. Refer to the discussion in Note 11 for further information related to the accounting for the debt financing.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29" w:lineRule="exact"/>
        <w:rPr>
          <w:sz w:val="20"/>
          <w:szCs w:val="20"/>
          <w:color w:val="auto"/>
        </w:rPr>
      </w:pPr>
    </w:p>
    <w:p>
      <w:pPr>
        <w:jc w:val="both"/>
        <w:ind w:left="460" w:right="59"/>
        <w:spacing w:after="0" w:line="258" w:lineRule="auto"/>
        <w:rPr>
          <w:sz w:val="20"/>
          <w:szCs w:val="20"/>
          <w:color w:val="auto"/>
        </w:rPr>
      </w:pPr>
      <w:r>
        <w:rPr>
          <w:rFonts w:ascii="Times New Roman" w:cs="Times New Roman" w:eastAsia="Times New Roman" w:hAnsi="Times New Roman"/>
          <w:sz w:val="18"/>
          <w:szCs w:val="18"/>
          <w:color w:val="auto"/>
        </w:rPr>
        <w:t>On December 31, 2025, the Company entered into a share purchase agreement to repurchase 2,300,000 of its ordinary shares from Perceptive Life Sciences Master Fund, Ltd., an affiliate of Perceptive Advisors LLC, at a purchase price of $7.91 per share, for an aggregate purchase price of $18.2 million. The repurchase transaction was completed on January 5, 2026, at which time the Company acquired the shares and recorded them as treasury shares, resulting in a reduction of shareholders’ equity.</w:t>
      </w:r>
    </w:p>
    <w:p>
      <w:pPr>
        <w:spacing w:after="0" w:line="179" w:lineRule="exact"/>
        <w:rPr>
          <w:sz w:val="20"/>
          <w:szCs w:val="20"/>
          <w:color w:val="auto"/>
        </w:rPr>
      </w:pPr>
    </w:p>
    <w:p>
      <w:pPr>
        <w:ind w:left="460" w:hanging="410"/>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rFonts w:ascii="Times New Roman" w:cs="Times New Roman" w:eastAsia="Times New Roman" w:hAnsi="Times New Roman"/>
          <w:sz w:val="18"/>
          <w:szCs w:val="18"/>
          <w:b w:val="1"/>
          <w:bCs w:val="1"/>
          <w:color w:val="auto"/>
        </w:rPr>
      </w:pPr>
    </w:p>
    <w:p>
      <w:pPr>
        <w:jc w:val="both"/>
        <w:ind w:left="460" w:right="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commitments under operating leases for laboratory, warehouse, clinical trial sites and office space. The Company also has finance leases for manufacturing space and office equipment. The Company’s leases have initial lease terms ranging from 1.5 years to 191 years. Certain lease agreements contain provisions for future rent increases. Payments due under the lease contracts include fixed payments.</w:t>
      </w:r>
    </w:p>
    <w:p>
      <w:pPr>
        <w:spacing w:after="0" w:line="139" w:lineRule="exact"/>
        <w:rPr>
          <w:rFonts w:ascii="Times New Roman" w:cs="Times New Roman" w:eastAsia="Times New Roman" w:hAnsi="Times New Roman"/>
          <w:sz w:val="18"/>
          <w:szCs w:val="18"/>
          <w:b w:val="1"/>
          <w:bCs w:val="1"/>
          <w:color w:val="auto"/>
        </w:rPr>
      </w:pPr>
    </w:p>
    <w:p>
      <w:pPr>
        <w:ind w:left="46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rent expense under these leases was $1.2 million and $1.3 million for the three-month periods ended March 31, 2026 and 2025, respectively.</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new leases recognized during the three-month periods ended March 31, 2026 and 2025.</w:t>
      </w:r>
    </w:p>
    <w:p>
      <w:pPr>
        <w:spacing w:after="0" w:line="198" w:lineRule="exact"/>
        <w:rPr>
          <w:rFonts w:ascii="Times New Roman" w:cs="Times New Roman" w:eastAsia="Times New Roman" w:hAnsi="Times New Roman"/>
          <w:sz w:val="18"/>
          <w:szCs w:val="18"/>
          <w:b w:val="1"/>
          <w:bCs w:val="1"/>
          <w:color w:val="auto"/>
        </w:rPr>
      </w:pPr>
    </w:p>
    <w:p>
      <w:pPr>
        <w:jc w:val="both"/>
        <w:ind w:left="460" w:right="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2025, the Company determined that it was reasonably certain to exercise its early termination option on an operating lease for laboratory and office space, resulting in a remeasurement of the ROU asset and lease liability reflected in the accompanying condensed consolidated balance sheets.</w:t>
      </w:r>
    </w:p>
    <w:p>
      <w:pPr>
        <w:spacing w:after="0" w:line="135" w:lineRule="exact"/>
        <w:rPr>
          <w:rFonts w:ascii="Times New Roman" w:cs="Times New Roman" w:eastAsia="Times New Roman" w:hAnsi="Times New Roman"/>
          <w:sz w:val="18"/>
          <w:szCs w:val="18"/>
          <w:b w:val="1"/>
          <w:bCs w:val="1"/>
          <w:color w:val="auto"/>
        </w:rPr>
      </w:pPr>
    </w:p>
    <w:p>
      <w:pPr>
        <w:ind w:left="460" w:right="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 for the three-month periods ended March 31, 2026 and 2025 are as follows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Three-Month Periods Ended March 31,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9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5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lease cost</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8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reported in the condensed consolidated balance sheets for leases where the Company is the lessee as of</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March 31, 2026 and December 31, 2025 were as follows (in thousands):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xml:space="preserve">March 31, </w:t>
            </w: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5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CCEEFF"/>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4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years</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 years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 years</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11.2 %</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11.2 %</w:t>
            </w: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13.0 %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13.0 %</w:t>
            </w:r>
          </w:p>
        </w:tc>
      </w:tr>
    </w:tbl>
    <w:p>
      <w:pPr>
        <w:spacing w:after="0" w:line="179" w:lineRule="exact"/>
        <w:rPr>
          <w:sz w:val="20"/>
          <w:szCs w:val="20"/>
          <w:color w:val="auto"/>
        </w:rPr>
      </w:pPr>
    </w:p>
    <w:p>
      <w:pPr>
        <w:ind w:left="500" w:right="59"/>
        <w:spacing w:after="0" w:line="282" w:lineRule="auto"/>
        <w:rPr>
          <w:sz w:val="20"/>
          <w:szCs w:val="20"/>
          <w:color w:val="auto"/>
        </w:rPr>
      </w:pPr>
      <w:r>
        <w:rPr>
          <w:rFonts w:ascii="Times New Roman" w:cs="Times New Roman" w:eastAsia="Times New Roman" w:hAnsi="Times New Roman"/>
          <w:sz w:val="18"/>
          <w:szCs w:val="18"/>
          <w:color w:val="auto"/>
        </w:rPr>
        <w:t>Other information related to leases for the three-month periods ended March 31, 2026 and 2025 are as follows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Three-Month Periods Ended March 31,</w:t>
            </w:r>
          </w:p>
        </w:tc>
      </w:tr>
      <w:tr>
        <w:trPr>
          <w:trHeight w:val="210"/>
        </w:trPr>
        <w:tc>
          <w:tcPr>
            <w:tcW w:w="4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r>
      <w:tr>
        <w:trPr>
          <w:trHeight w:val="174"/>
        </w:trPr>
        <w:tc>
          <w:tcPr>
            <w:tcW w:w="40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Cash paid for amounts included in the measurement</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 lease liabilities</w:t>
            </w: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2026 are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ind w:left="4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9"/>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40" w:hanging="390"/>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Financing</w:t>
      </w:r>
    </w:p>
    <w:p>
      <w:pPr>
        <w:spacing w:after="0" w:line="175" w:lineRule="exact"/>
        <w:rPr>
          <w:rFonts w:ascii="Times New Roman" w:cs="Times New Roman" w:eastAsia="Times New Roman" w:hAnsi="Times New Roman"/>
          <w:sz w:val="18"/>
          <w:szCs w:val="18"/>
          <w:b w:val="1"/>
          <w:bCs w:val="1"/>
          <w:color w:val="auto"/>
        </w:rPr>
      </w:pPr>
    </w:p>
    <w:p>
      <w:pPr>
        <w:jc w:val="both"/>
        <w:ind w:left="460" w:right="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 2022 the Company, and the Subsidiary Guarantors, entered into the Financing Agreement with Perceptive. On December 19, 2022, the Financing Agreement was converted to a Notes Purchase Agreement between the same parties and under substantially the same terms and conditions as the Financing Agreement, subject to certain customary note constitution terms.</w:t>
      </w:r>
    </w:p>
    <w:p>
      <w:pPr>
        <w:spacing w:after="0" w:line="125" w:lineRule="exact"/>
        <w:rPr>
          <w:rFonts w:ascii="Times New Roman" w:cs="Times New Roman" w:eastAsia="Times New Roman" w:hAnsi="Times New Roman"/>
          <w:sz w:val="18"/>
          <w:szCs w:val="18"/>
          <w:b w:val="1"/>
          <w:bCs w:val="1"/>
          <w:color w:val="auto"/>
        </w:rPr>
      </w:pPr>
    </w:p>
    <w:p>
      <w:pPr>
        <w:jc w:val="both"/>
        <w:ind w:left="460" w:right="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Notes Purchase Agreement provides for an initial $75.0 million notes issuance (the “Tranche 1 Notes”). Pursuant to an amendment to the Notes Purchase Agreement entered into on March 25, 2026, the maturity date of the Notes Purchase Agreement has been extended from August 2, 2026 to May 2, 2027 and the Company has agreed to redeem a portion of the outstanding principal amount of the Tranche 1 Notes equal to $25.0 million on or before June 30, 2026. Pursuant to another amendment to the Notes Purchase Agreement entered into on May 12, 2026, the maturity date of the Notes Purchase Agreement was extended from May 2, 2027 to July 1, 2027. The Company has the option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60" w:right="59"/>
        <w:spacing w:after="0" w:line="255" w:lineRule="auto"/>
        <w:rPr>
          <w:sz w:val="20"/>
          <w:szCs w:val="20"/>
          <w:color w:val="auto"/>
        </w:rPr>
      </w:pPr>
      <w:r>
        <w:rPr>
          <w:rFonts w:ascii="Times New Roman" w:cs="Times New Roman" w:eastAsia="Times New Roman" w:hAnsi="Times New Roman"/>
          <w:sz w:val="18"/>
          <w:szCs w:val="18"/>
          <w:color w:val="auto"/>
        </w:rPr>
        <w:t>to redeem outstanding principal notes at any time along with an applicable early redemption fee. Outstanding amounts under the Notes Purchase Agreement bear interest at a fluctuating rate per annum equal to 10.00% plus the secured overnight financing rate administered by the Federal Reserve Bank of New York for a one-month tenor, subject to a 1.00% floor. The annual interest rate was 13.70% at March 31, 2026. As of March 31, 2026, the outstanding balance of the Tranche 1 Notes was $75.0 million plus accrued interest of $2.6 million. During the three months ended March 31, 2026 and 2025, the Company recorded interest expense of $2.6 million and $2.7 million, respectively.</w:t>
      </w:r>
    </w:p>
    <w:p>
      <w:pPr>
        <w:spacing w:after="0" w:line="135" w:lineRule="exact"/>
        <w:rPr>
          <w:sz w:val="20"/>
          <w:szCs w:val="20"/>
          <w:color w:val="auto"/>
        </w:rPr>
      </w:pPr>
    </w:p>
    <w:p>
      <w:pPr>
        <w:jc w:val="both"/>
        <w:ind w:left="460" w:right="59"/>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Notes Purchase Agreement are secured by the Company’s London, United Kingdom and Shannon, Ireland manufacturing facilities, $3.0 million of the Company’s cash and the bank accounts of the Subsidiary Guarantors, and the issued and outstanding equity interests of the Subsidiary Guarantors.</w:t>
      </w:r>
    </w:p>
    <w:p>
      <w:pPr>
        <w:spacing w:after="0" w:line="122" w:lineRule="exact"/>
        <w:rPr>
          <w:sz w:val="20"/>
          <w:szCs w:val="20"/>
          <w:color w:val="auto"/>
        </w:rPr>
      </w:pPr>
    </w:p>
    <w:p>
      <w:pPr>
        <w:jc w:val="both"/>
        <w:ind w:left="460" w:right="59"/>
        <w:spacing w:after="0" w:line="261" w:lineRule="auto"/>
        <w:rPr>
          <w:sz w:val="20"/>
          <w:szCs w:val="20"/>
          <w:color w:val="auto"/>
        </w:rPr>
      </w:pPr>
      <w:r>
        <w:rPr>
          <w:rFonts w:ascii="Times New Roman" w:cs="Times New Roman" w:eastAsia="Times New Roman" w:hAnsi="Times New Roman"/>
          <w:sz w:val="18"/>
          <w:szCs w:val="18"/>
          <w:color w:val="auto"/>
        </w:rPr>
        <w:t>The Notes Purchase Agreement imposes certain covenants and restrictions on the Company and the Subsidiary Guarantors, including restrictions pertaining to: (i) the incurrence of additional indebtedness, (ii) limitations on liens,</w:t>
      </w:r>
    </w:p>
    <w:p>
      <w:pPr>
        <w:jc w:val="both"/>
        <w:ind w:left="460" w:right="59" w:hanging="8"/>
        <w:spacing w:after="0" w:line="252" w:lineRule="auto"/>
        <w:tabs>
          <w:tab w:leader="none" w:pos="8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certain investments, (iv) making distributions, dividends and other payments, (v) mergers, consolidations and acquisitions, (vi) dispositions of assets, (vii) the Company’s maintenance of at least $3.0 million in a U.S. bank account, (viii) transactions with affiliates, (ix) changes to governing documents, (x) changes to certain agreements and leases and (xi) changes in control; however, certain of these restrictions contain exceptions which allow the Company to license, sell and monetize assets in its AAV-hAQP1 program in development to treat radiation-induced xerostomia, its AAV-GAD program in development to treat Parkinson’s disease and its gene regulation platform technologies. As of March 31, 2026, the Company is in compliance with all covenants.</w:t>
      </w:r>
    </w:p>
    <w:p>
      <w:pPr>
        <w:spacing w:after="0" w:line="134" w:lineRule="exact"/>
        <w:rPr>
          <w:sz w:val="20"/>
          <w:szCs w:val="20"/>
          <w:color w:val="auto"/>
        </w:rPr>
      </w:pPr>
    </w:p>
    <w:p>
      <w:pPr>
        <w:jc w:val="both"/>
        <w:ind w:left="460" w:right="59"/>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Financing Agreement, the Company granted warrants to Perceptive to purchase up to (i) 400,000 ordinary shares of the Company at an exercise price of $15.00 per share and (ii) 300,000 ordinary shares of the Company at an exercise price of $20.00 per share. Pursuant to the amendment on March 25, 2026, the warrants were amended to change the exercise price to $8.00 per share. The warrants are exercisable immediately and expire on August 2, 2027. The Company recorded a debt discount of $2.3 million for the allocated fair value of the warrants.</w:t>
      </w:r>
    </w:p>
    <w:p>
      <w:pPr>
        <w:spacing w:after="0" w:line="133" w:lineRule="exact"/>
        <w:rPr>
          <w:sz w:val="20"/>
          <w:szCs w:val="20"/>
          <w:color w:val="auto"/>
        </w:rPr>
      </w:pPr>
    </w:p>
    <w:p>
      <w:pPr>
        <w:jc w:val="both"/>
        <w:ind w:left="460" w:right="59"/>
        <w:spacing w:after="0" w:line="258" w:lineRule="auto"/>
        <w:rPr>
          <w:sz w:val="20"/>
          <w:szCs w:val="20"/>
          <w:color w:val="auto"/>
        </w:rPr>
      </w:pPr>
      <w:r>
        <w:rPr>
          <w:rFonts w:ascii="Times New Roman" w:cs="Times New Roman" w:eastAsia="Times New Roman" w:hAnsi="Times New Roman"/>
          <w:sz w:val="18"/>
          <w:szCs w:val="18"/>
          <w:color w:val="auto"/>
        </w:rPr>
        <w:t>The Company also capitalized certain lender and legal costs associated with the Notes Purchase Agreement totaling $2.1 million, which were recorded as a discount to the loan. The aggregate discount of $4.4 million is being amortized to interest expense over the term of the Notes Purchase Agreement. The Company amortized $0.2 million and $0.3 million of the discount to interest expense during the three months ended March 31, 2026 and 2025, respectively. At March 31, 2026, the remaining unamortized discount was $0.4 million.</w:t>
      </w:r>
    </w:p>
    <w:p>
      <w:pPr>
        <w:spacing w:after="0" w:line="179" w:lineRule="exact"/>
        <w:rPr>
          <w:sz w:val="20"/>
          <w:szCs w:val="20"/>
          <w:color w:val="auto"/>
        </w:rPr>
      </w:pPr>
    </w:p>
    <w:p>
      <w:pPr>
        <w:ind w:left="460" w:hanging="410"/>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2" w:lineRule="exact"/>
        <w:rPr>
          <w:rFonts w:ascii="Times New Roman" w:cs="Times New Roman" w:eastAsia="Times New Roman" w:hAnsi="Times New Roman"/>
          <w:sz w:val="18"/>
          <w:szCs w:val="18"/>
          <w:b w:val="1"/>
          <w:bCs w:val="1"/>
          <w:color w:val="auto"/>
        </w:rPr>
      </w:pPr>
    </w:p>
    <w:p>
      <w:pPr>
        <w:jc w:val="both"/>
        <w:ind w:left="460" w:right="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filed claims for research and development tax credits in Ireland for the 2023 and 2024 fiscal years. The total potential benefit associated with the filed claims is approximately $7.3 million. These claims are currently under review by the Irish tax authorities. As this represents the Company’s first time claiming such credits in Ireland, and the ultimate approval, timing, and amount of any refund remains uncertain, the Company has not recognized a receivable or related income as of March 31, 2026. Any amounts ultimately approved and received will be recognized in the period in which realization becomes probable and reasonably estimable.</w:t>
      </w:r>
    </w:p>
    <w:p>
      <w:pPr>
        <w:spacing w:after="0" w:line="183" w:lineRule="exact"/>
        <w:rPr>
          <w:rFonts w:ascii="Times New Roman" w:cs="Times New Roman" w:eastAsia="Times New Roman" w:hAnsi="Times New Roman"/>
          <w:sz w:val="18"/>
          <w:szCs w:val="18"/>
          <w:b w:val="1"/>
          <w:bCs w:val="1"/>
          <w:color w:val="auto"/>
        </w:rPr>
      </w:pPr>
    </w:p>
    <w:p>
      <w:pPr>
        <w:ind w:left="460" w:hanging="410"/>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Purchase Agreement and Related Agreements with Janssen Pharmaceuticals, Inc.</w:t>
      </w:r>
    </w:p>
    <w:p>
      <w:pPr>
        <w:spacing w:after="0" w:line="229" w:lineRule="exact"/>
        <w:rPr>
          <w:rFonts w:ascii="Times New Roman" w:cs="Times New Roman" w:eastAsia="Times New Roman" w:hAnsi="Times New Roman"/>
          <w:sz w:val="18"/>
          <w:szCs w:val="18"/>
          <w:b w:val="1"/>
          <w:bCs w:val="1"/>
          <w:color w:val="auto"/>
        </w:rPr>
      </w:pPr>
    </w:p>
    <w:p>
      <w:pPr>
        <w:jc w:val="both"/>
        <w:ind w:left="460" w:right="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2026, the Company entered into an asset purchase agreement with Janssen to reacquire all rights, title and interest in botaretigene sparoparvovec (bota-vec) and other assets related to the RPGR Product. In connection with this transaction, the Company agreed to make an upfront cash payment of $25.0 million, as well as certain future milestone and royalty payments tied to regulatory approval and commercial performance. Concurrently, the parties entered into the Termination Agreement that terminated the Original Asset Purchase Agreement, the Supply Agreement and certain other documents related to the Original Asset Purchase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60" w:right="79"/>
        <w:spacing w:after="0" w:line="258" w:lineRule="auto"/>
        <w:rPr>
          <w:sz w:val="20"/>
          <w:szCs w:val="20"/>
          <w:color w:val="auto"/>
        </w:rPr>
      </w:pPr>
      <w:r>
        <w:rPr>
          <w:rFonts w:ascii="Times New Roman" w:cs="Times New Roman" w:eastAsia="Times New Roman" w:hAnsi="Times New Roman"/>
          <w:sz w:val="18"/>
          <w:szCs w:val="18"/>
          <w:color w:val="auto"/>
        </w:rPr>
        <w:t>As a result of the termination of these agreements, all remaining rights and obligations under the prior arrangements, including any remaining performance obligations and related deferred revenue balances and outstanding accounts receivable balances as of March 31, 2026 are expected to be impacted and will no longer be recognized as originally anticipated. Certain provisions of the prior agreements may survive in accordance with their terms or as set forth in the Termination Agreement.</w:t>
      </w:r>
    </w:p>
    <w:p>
      <w:pPr>
        <w:spacing w:after="0" w:line="183" w:lineRule="exact"/>
        <w:rPr>
          <w:sz w:val="20"/>
          <w:szCs w:val="20"/>
          <w:color w:val="auto"/>
        </w:rPr>
      </w:pPr>
    </w:p>
    <w:p>
      <w:pPr>
        <w:jc w:val="both"/>
        <w:ind w:left="460" w:right="59"/>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repurchase of the RPGR Product, see Note 1. The Company is currently evaluating the accounting impact of these transactions, including the treatment of previously recognized deferred revenue and related balances.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Issuance</w:t>
      </w:r>
    </w:p>
    <w:p>
      <w:pPr>
        <w:spacing w:after="0" w:line="229" w:lineRule="exact"/>
        <w:rPr>
          <w:sz w:val="20"/>
          <w:szCs w:val="20"/>
          <w:color w:val="auto"/>
        </w:rPr>
      </w:pPr>
    </w:p>
    <w:p>
      <w:pPr>
        <w:jc w:val="both"/>
        <w:ind w:left="460" w:right="59"/>
        <w:spacing w:after="0" w:line="258" w:lineRule="auto"/>
        <w:rPr>
          <w:sz w:val="20"/>
          <w:szCs w:val="20"/>
          <w:color w:val="auto"/>
        </w:rPr>
      </w:pPr>
      <w:r>
        <w:rPr>
          <w:rFonts w:ascii="Times New Roman" w:cs="Times New Roman" w:eastAsia="Times New Roman" w:hAnsi="Times New Roman"/>
          <w:sz w:val="18"/>
          <w:szCs w:val="18"/>
          <w:color w:val="auto"/>
        </w:rPr>
        <w:t>On April 17, 2026, the Company completed a public equity offering of 11,111,111 ordinary shares at a price of $9.00 per share, resulting in gross proceeds of approximately $100.0 million and estimated net proceeds of $93.3 million, after deducting underwriting discounts, commissions and offering expenses payable by the Company. The net proceeds from the offering are expected to be used for general corporate purposes, including working capital and capital expenditures.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Initial Closing of Strategic Collaboration with Hologen</w:t>
      </w:r>
    </w:p>
    <w:p>
      <w:pPr>
        <w:spacing w:after="0" w:line="229" w:lineRule="exact"/>
        <w:rPr>
          <w:sz w:val="20"/>
          <w:szCs w:val="20"/>
          <w:color w:val="auto"/>
        </w:rPr>
      </w:pPr>
    </w:p>
    <w:p>
      <w:pPr>
        <w:jc w:val="both"/>
        <w:ind w:left="460" w:right="79"/>
        <w:spacing w:after="0" w:line="282" w:lineRule="auto"/>
        <w:rPr>
          <w:sz w:val="20"/>
          <w:szCs w:val="20"/>
          <w:color w:val="auto"/>
        </w:rPr>
      </w:pPr>
      <w:r>
        <w:rPr>
          <w:rFonts w:ascii="Times New Roman" w:cs="Times New Roman" w:eastAsia="Times New Roman" w:hAnsi="Times New Roman"/>
          <w:sz w:val="18"/>
          <w:szCs w:val="18"/>
          <w:color w:val="auto"/>
        </w:rPr>
        <w:t>On April 20, 2026, the Company completed the initial closing of its strategic collaboration with Hologen. In connection with the initial closing:</w:t>
      </w:r>
    </w:p>
    <w:p>
      <w:pPr>
        <w:spacing w:after="0" w:line="162" w:lineRule="exact"/>
        <w:rPr>
          <w:sz w:val="20"/>
          <w:szCs w:val="20"/>
          <w:color w:val="auto"/>
        </w:rPr>
      </w:pPr>
    </w:p>
    <w:p>
      <w:pPr>
        <w:jc w:val="both"/>
        <w:ind w:left="860" w:right="79" w:hanging="391"/>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Hologen and/or certain of their affiliates entered into amendments to the Neuro Framework Agreement and the Manufacturing Framework Agreement to reflect certain pre-closing transactions and updated terms of the collaboration;</w:t>
      </w:r>
    </w:p>
    <w:p>
      <w:pPr>
        <w:spacing w:after="0" w:line="175" w:lineRule="exact"/>
        <w:rPr>
          <w:rFonts w:ascii="Times New Roman" w:cs="Times New Roman" w:eastAsia="Times New Roman" w:hAnsi="Times New Roman"/>
          <w:sz w:val="18"/>
          <w:szCs w:val="18"/>
          <w:color w:val="auto"/>
        </w:rPr>
      </w:pPr>
    </w:p>
    <w:p>
      <w:pPr>
        <w:jc w:val="both"/>
        <w:ind w:left="860" w:right="79" w:hanging="391"/>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Hologen and certain of their affiliates entered into the Hologen Collaboration Agreement for the research, development, manufacture and commercialization of the Clinical Programs and the Delivery Device; and</w:t>
      </w:r>
    </w:p>
    <w:p>
      <w:pPr>
        <w:spacing w:after="0" w:line="175" w:lineRule="exact"/>
        <w:rPr>
          <w:rFonts w:ascii="Times New Roman" w:cs="Times New Roman" w:eastAsia="Times New Roman" w:hAnsi="Times New Roman"/>
          <w:sz w:val="18"/>
          <w:szCs w:val="18"/>
          <w:color w:val="auto"/>
        </w:rPr>
      </w:pPr>
    </w:p>
    <w:p>
      <w:pPr>
        <w:jc w:val="both"/>
        <w:ind w:left="860" w:right="79" w:hanging="391"/>
        <w:spacing w:after="0" w:line="261"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prior to the Initial Closing Date, equity interests were issued in Hologen Neuro AI and MeiraGTx Manufacturing in consideration for the $105.0 million in payments Hologen previously made to the Company as part of the Upfront Payment under the Framework Agreements, resulting in Hologen owning a majority ownership interest in Hologen Neuro AI and a minority ownership interest in MeiraGTx Manufacturing.</w:t>
      </w:r>
    </w:p>
    <w:p>
      <w:pPr>
        <w:spacing w:after="0" w:line="180" w:lineRule="exact"/>
        <w:rPr>
          <w:sz w:val="20"/>
          <w:szCs w:val="20"/>
          <w:color w:val="auto"/>
        </w:rPr>
      </w:pPr>
    </w:p>
    <w:p>
      <w:pPr>
        <w:jc w:val="both"/>
        <w:ind w:left="460" w:right="59"/>
        <w:spacing w:after="0" w:line="282" w:lineRule="auto"/>
        <w:rPr>
          <w:sz w:val="20"/>
          <w:szCs w:val="20"/>
          <w:color w:val="auto"/>
        </w:rPr>
      </w:pPr>
      <w:r>
        <w:rPr>
          <w:rFonts w:ascii="Times New Roman" w:cs="Times New Roman" w:eastAsia="Times New Roman" w:hAnsi="Times New Roman"/>
          <w:sz w:val="18"/>
          <w:szCs w:val="18"/>
          <w:color w:val="auto"/>
        </w:rPr>
        <w:t>Following the Hologen Initial Closing Date, Hologen has also committed to fund the remaining portion of the Upfront Payment provided for under the Framework Agreements.</w:t>
      </w:r>
    </w:p>
    <w:p>
      <w:pPr>
        <w:spacing w:after="0" w:line="162" w:lineRule="exact"/>
        <w:rPr>
          <w:sz w:val="20"/>
          <w:szCs w:val="20"/>
          <w:color w:val="auto"/>
        </w:rPr>
      </w:pPr>
    </w:p>
    <w:p>
      <w:pPr>
        <w:jc w:val="both"/>
        <w:ind w:left="460" w:right="59"/>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initial closing of the strategic collaboration with Hologen, see Note 1. The Company is currently evaluating the accounting treatment of these transactions.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9" w:lineRule="exact"/>
        <w:rPr>
          <w:sz w:val="20"/>
          <w:szCs w:val="20"/>
          <w:color w:val="auto"/>
        </w:rPr>
      </w:pPr>
    </w:p>
    <w:p>
      <w:pPr>
        <w:jc w:val="both"/>
        <w:ind w:left="460" w:right="59"/>
        <w:spacing w:after="0" w:line="261" w:lineRule="auto"/>
        <w:rPr>
          <w:sz w:val="20"/>
          <w:szCs w:val="20"/>
          <w:color w:val="auto"/>
        </w:rPr>
      </w:pPr>
      <w:r>
        <w:rPr>
          <w:rFonts w:ascii="Times New Roman" w:cs="Times New Roman" w:eastAsia="Times New Roman" w:hAnsi="Times New Roman"/>
          <w:sz w:val="18"/>
          <w:szCs w:val="18"/>
          <w:color w:val="212529"/>
        </w:rPr>
        <w:t>On May 12, 2026, the Company, as issuer, and the Subsidiary Guarantors, the noteholders and other parties from time to time party to the Notes Purchase Agreement, and Perceptive, as administrative agent and lender under the Notes Purchase Agreement, entered into Amendment No. 5 to Amended and Restated Notes Purchase Agreement to extend the maturity date of the Notes Purchase Agreement from May 2, 2027 to July 1, 2027.</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operating results together with our financial statements and related notes appearing in this Quarterly Report on Form 10-Q (“Form 10-Q”) and those included in our Annual Report on Form 10-K for the year ended December 31, 2025 (the “Form 10-K”). Some of the information contained in this discussion and analysis or set forth elsewhere in this Form 10-Q, including information with respect to our plans and strategy for our business and related financing, includes forward-looking statements that involve risks and uncertainties. As a result of many important factors, including those set forth in the “Risk Factors” section of this Form 10-Q, our actual results could differ materially from the results described in, or implied by, the forward-looking statements contained in the following discussion and analysis. For convenience of presentation some of the numbers have been rounded in the text below. Unless the context requires otherwise, references in this Management’s Discussion and Analysis of Financial Condition and Results of Operations to the “Company,” “we,” “us” and “our” refer to MeiraGTx Holdings plc and its subsidiaries.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are a vertically integrated, clinical-stage genetic medicines company with a broad pipeline of four late-stage clinical programs. Each of these programs uses local delivery of small doses, resulting in disease-modifying effects in both inherited and more common diseases, in the eye, Parkinson’s disease and radiation-induced xerostomia. We use our innovative technology in optimization of capsids, promoters, and novel translational control elements to develop best-in-class, potent, safe viral vectors. Our broad pipeline is supported by end-to-end in-house manufacturing. We have built the most comprehensive manufacturing capabilities in the industry, including two that are licensed for good manufacturing practices (“GMP”) viral vector production and a GMP Quality Control facility with clinical and commercial licensure. In addition, we have developed a proprietary manufacturing platform process over 9 years based on more than 20 different viral vectors with leading yield and quality aspects and commercial readiness. Uniquely, we have developed a novel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any biologic therapeutic using oral small molecules. This transformative riboswitch gene regulation technology allows precise, dose-responsive control of gene expression by oral small molecules. We are focusing the riboswitch platform on the regulated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metabolic peptides, including GLP-1, GIP, glucagon, amylin, PYY and leptin, as well as cell therapy, CAR-T for liquid and solid tumors and autoimmune diseases, and additionally, PNS targets addressing long-term intractable pain. We have developed the technology to apply genetic medicine to common diseases, increasing efficacy, addressing novel targets, and expanding access in some of the largest disease areas where the unmet need remains high.</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discussion of our financial condition and results of operations is based upon our financial statements, which have been prepared in accordance with generally accepted accounting principles in the United States (“GAAP”). Since our formation, we have devoted substantially all of our resources to developing our technology platform, establishing our viral vector manufacturing facilities and our GMP plasmid and DNA production facility and developing manufacturing processes, advancing the product candidates in our ophthalmology, salivary gland and neurodegenerative disease programs, building our intellectual property portfolio, organizing and staffing our company, developing our business plan, raising capital, and providing general and administrative support for these operations. To date, we have financed our operations primarily with cash on hand and proceeds from the sales of our equity securities, debt financing, strategic collaborations and asset sales, including and upfront and milestone payments in connection with the Collaboration, Option and License Agreement with Janssen Pharmaceuticals, Inc. (“Janssen”), dated as of January 30, 2019 (the “Janssen Collaboration Agreement”), for the research, development and commercialization of gene therapies for the treatment of inherited retinal disease, which also provided us with research funding, the Asset Purchase Agreement, dated as of December 20, 2023, we entered into with Janssen (the “Original Asset Purchase Agreement”) pursuant to which we sold to Janssen botaretigene sparoparvovec, or bota-vec, for the treatment of X-linked retinitis pigmentosa (“XLRP”) related to mutations in the retinitis pigmentosa GTPase regulator gene (the “RPGR Product”), and other related assets as described in the Original Asset Purchase Agreement, the Framework Agreements (as defined below), each dated as of March 9, 2025, we and certain of our affiliates entered into with Hologen Limited (“Hologen”) and certain of its affiliates as further described below, and the Strategic Collaboration and License Agreement, dated as of November 7, 2025 (the “Lilly Collaboration Agreement”), we entered into with Eli Lilly and Company (“Lilly”) for the research, development and commercialization of genetic medicines in and related to the area of ophthalmology. Through March 31, 2026, we received gross proceeds of approximately $651.3 million from sales of our equity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securities, gross proceeds of approximately $75.0 million from issuance of debt and a total of $435.0 million from the collaboration, license, framework and asset purchase agreements described above. As of March 31, 2026, we had cash, cash equivalents and restricted cash of $73.8 million, as well as a $3.3 million receivable from Janssen in the first quarter of 2026 in connection with the process performance qualification (“PPQ”) and transition services we provided to Janssen under the Original Asset Purchase Agreement.</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are a clinical stage company and have not generated any product revenues to date. We have ongoing clinical development programs and a broad pipeline of preclinical programs. Since inception, we have incurred significant operating losses. Our net losses for the three-month periods ended March 31, 2026 and 2025 were $46.3 million and $40.0 million, respectively. As of March 31, 2026, we had an accumulated deficit of $862.5 million. We do not expect to generate revenue from sales of products unless and until we successfully initiate and complete clinical development and obtain regulatory approval for any product candidates, or satisfy our third party obligations.</w:t>
      </w:r>
    </w:p>
    <w:p>
      <w:pPr>
        <w:spacing w:after="0" w:line="187"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 xml:space="preserve">Our total operating expenses for the three-month periods ended March 31, 2026 and 2025 were $41.1 million and $43.5 million, respectively. We expect to continue incurring costs associated with our clinical activities for AAV-hAQP1 for the treatment of radiation-induced xerostomia and bota-vec for the treatment of XLRP associated with mutations in the </w:t>
      </w:r>
      <w:r>
        <w:rPr>
          <w:rFonts w:ascii="Times New Roman" w:cs="Times New Roman" w:eastAsia="Times New Roman" w:hAnsi="Times New Roman"/>
          <w:sz w:val="17"/>
          <w:szCs w:val="17"/>
          <w:i w:val="1"/>
          <w:iCs w:val="1"/>
          <w:color w:val="auto"/>
        </w:rPr>
        <w:t xml:space="preserve">RPGR </w:t>
      </w:r>
      <w:r>
        <w:rPr>
          <w:rFonts w:ascii="Times New Roman" w:cs="Times New Roman" w:eastAsia="Times New Roman" w:hAnsi="Times New Roman"/>
          <w:sz w:val="17"/>
          <w:szCs w:val="17"/>
          <w:color w:val="auto"/>
        </w:rPr>
        <w:t>gene, as well as for AAV-GAD for the treatment of Parkinson’s disease, although certain of these increases relating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AAV-GAD are expected to be offset by the funding provided by Hologen as part of the strategic collaboration we entered into with them. We also expect to continue to incur costs relating to AAV-AIPL1 for the treatment of LCA4, which costs can be offset by the funding in connection with the Lilly Collaboration Agreement. We also incurred expenses during the three-month period ended March 31, 2026 and expect to continue to incur expenses related to research activities in additional therapeutic areas to expand our pipeline, developing our potentially transformative gene regulation technology, hiring additional personnel as needed in manufacturing, research, clinical operations, quality and other functional areas, and associated cash and share-based compensation expense, as well as the further development of internal manufacturing capabilities and capacity and other associated costs including the management of our intellectual property portfolio.</w:t>
      </w:r>
    </w:p>
    <w:p>
      <w:pPr>
        <w:spacing w:after="0" w:line="179" w:lineRule="exact"/>
        <w:rPr>
          <w:sz w:val="20"/>
          <w:szCs w:val="20"/>
          <w:color w:val="auto"/>
        </w:rPr>
      </w:pPr>
    </w:p>
    <w:p>
      <w:pPr>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We will require additional capital in the future, which we may raise through equity offerings (including our “at-the-market” equity offering program), debt financings, marketing and distribution arrangements and other collaborations, strategic alliances and licensing arrangements or other sources to enable us to complete the development and potential commercialization of our product candidates. Furthermore, we expect to continue incurring costs associated with being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7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Based on our cash, cash equivalents and tax incentive receivable at March 31, 2026, together with the approximately $100.0 million gross proceeds from the public equity offering in the second quarter of 2026 and the remaining $95.0 million upfront payment due from Hologen and associated reimbursements, we estimate that such funds will be sufficient to enable us to fund our operating expenses and capital expenditure requirements into the second half of 2028, including the $25.0 million upfront cash payment to Janssen for the reacquisition of bota-vec as further described below and the repayment of our debt obligation to Perceptive Credit Holdings III, LP (“Perceptive”) of $25.0 million (due in June 2026) and $50.0 million (due in July 2027) under the Notes Purchase Agreement. We have based these estimates on assumptions that may prove to be wrong, and we may use our available capital resources sooner than we currently expect. See “Liquidity and Capital Resources.” Because of the numerous risks and uncertainties associated with the development of our product candidates,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Adequate additional funds may not be available to us on acceptable terms, or at all. To the extent that we raise additional capital through the sale of equity or convertible securities, your ownership interest will be diluted, and the terms of these securities may include liquidation or other preferences that adversely affect your rights as a shareholder. Any future debt financing or preferred equity or other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3"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6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Purchase and Related Agreements with Janssen Pharmaceuticals, Inc.</w:t>
      </w:r>
    </w:p>
    <w:p>
      <w:pPr>
        <w:spacing w:after="0" w:line="229"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On April 15, 2026 (the “Janssen Closing Date”), we and Meira Ocular entered into and consummated an Asset Purchase Agreement (the “Asset Purchase Agreement”) with Janssen pursuant to which Janssen sold and assigned to us, and we purchased and assumed, that certain License Agreement, dated February 5, 2019, by and between UCLB Business Plc (now UCL Business Ltd.) and Janssen (the “UCLB License Agreement”), relating to the research, development, manufacture and exploitation of the RPGR Product and other related assets as described in the Asset Purchase Agreement.</w:t>
      </w:r>
    </w:p>
    <w:p>
      <w:pPr>
        <w:spacing w:after="0" w:line="1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agreed to pay an upfront cash purchase price of $25.0 million to Janssen. Additionally, pursuant to and subject to the terms and conditions set forth in the Asset Purchase Agreement, we agreed to pay Janssen a one-time, future contingent consideration of $50.0 million upon both of the following milestones being achieved: (i) our or our affiliates’ receipt of regulatory approval for an RPGR Product in the United States and (ii) aggregate net sales by us or our affiliates of all RPGR Products in the United States since the Janssen Closing Date first exceeds $250.0 million. We have also agreed to pay Janssen royalties, based on future net sales globally of the RPGR Product by us or our affiliates, in the mid-teens percentage of annual net sales for the RPGR Product commencing on or after July 1, 2029. Additionally, we will pay a portion of upfront and milestone payments to Janssen in the event we or any of our affiliates may receive payments from a third party if we or any of our affiliates grant any license or right to develop or commercialize any RPGR Product to such third party, as well as make royalty payments to Janssen for a given RPGR Product based on (A) royalty payments we or our affiliates may receive from such third party (after deduction of any royalty payments due under the UCLB License Agreement) and (B) net sales of a given RPGR Product by such third party.</w:t>
      </w:r>
    </w:p>
    <w:p>
      <w:pPr>
        <w:spacing w:after="0" w:line="190"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entering into the Asset Purchase Agreement, we and Janssen entered into a Termination Agreement on the Janssen Closing Date (the “Termination Agreement”) terminating the Original Asset Purchase Agreement pursuant to which we sold the RPGR Product to Janssen. The Termination Agreement also terminated that certain Supply Agreement, dated as of December 20, 2023 by and between Meira UK II and Janssen (the “Supply Agreement”), and certain other documents related to the Original Asset Purchase Agreement.</w:t>
      </w:r>
    </w:p>
    <w:p>
      <w:pPr>
        <w:spacing w:after="0" w:line="143"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Johnson &amp; Johnson Innovation – JJDC, Inc. (“JJDC”), the investment arm of Johnson &amp; Johnson and owner of Janssen, owns more than 5% of our outstanding shares. JJDC and Janssen have agreed not to sell or transfer any of our ordinary shares or securities convertible into, exchangeable for, or exercisable for our ordinary shares, for twelve months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after the Janssen Closing Date and following such twelve month period, if Janssen ever intends to sell our shares after the twelve month period, they will provide written notice to us at least five business days prior to taking any action.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Eli Lilly and Company Collaboration Agreement</w:t>
      </w:r>
    </w:p>
    <w:p>
      <w:pPr>
        <w:spacing w:after="0" w:line="22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On November 7, 2025 (the “Lilly Effective Date”), our affiliates MeiraGTx Ocular UK Limited (“Meira Ocular”), MeiraGTx Limited and MeiraGTx UK II Limited (“Meira UK II”), entered into the Lilly Collaboration Agreement with Lilly for the research, development and commercialization of genetic medicines in and related to the area of ophthalmology. Under the Lilly Collaboration Agreement, Meira has granted Lilly exclusive, worldwide rights to research, develop and commercialize our product candidate AAV-AIPL1, which treats Leber congenital amaurosis 4, or LCA4, caused by mutations in the AIPL1 gene, as well as two other preclinical product candidates which are intended to treat other inherited retinal dystrophies. As of the Lilly Effective Date, Lilly has (i) an exclusive license to proprietary intravitreal capsids for use with up to five targets, relating to or useful in the field of ophthalmology, to be selected by Lilly,</w:t>
      </w:r>
    </w:p>
    <w:p>
      <w:pPr>
        <w:ind w:left="60" w:right="279" w:hanging="10"/>
        <w:spacing w:after="0" w:line="253" w:lineRule="auto"/>
        <w:tabs>
          <w:tab w:leader="none" w:pos="3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license to proprietary pan-retinal or rod-specific promoters for use with up to five targets, relating to or useful in the field of ophthalmology, to be selected by Lilly and (iii) a right of first designation with respect to certain target-specific transactions that Meira Ocular or its affiliates may seek to pursue in the field of ophthalmology. Lilly also has a right of first negotiation for use of our proprietary riboswitch technology in the field of ophthalmological gene editing.</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Lilly Collaboration Agreement, Meira received an upfront payment of $75.0 million after signing the Lilly Collaboration Agreement and will be eligible to receive up to over $400.0 million in total milestone payments, including up to $135.0 million in other potential near-term cash consideration upon the achievement of certain development and regulatory approval milestones. Lilly has the right to research, develop and commercialize products under the Lilly Collaboration Agreement, at its cost. To the extent certain activities are performed by us in connection with the collaboration, we may receive reimbursement for such activities in accordance with the terms of the Lilly Collaboration Agreement. The Lilly Collaboration Agreement also provides for tiered royalties to be paid to Meira Ocular.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Hologen Transactions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March 9, 2025 (the “Hologen Signing Date”), we and certain of our affiliates entered into a strategic collaboration with Hologen and certain of its affiliates. Hologen is a leading developer of multi-modal generative AI foundation models of real-world clinical data for clinical medicine and pharmaceutical drug development. As part of the strategic collaboration, we and Hologen entered into the Framework Agreements (as defined below), pursuant to which we and our affiliates would receive from Hologen an upfront cash payment of $200.0 million (the “Upfront Payment”), and Hologen would provide additional funding of up to an additional $230.0 million to finance the development of our AAV-GAD program in Parkinson’s disease to commercialization, as well as other locally-delivered therapies in the central nervous system. As part of the strategic collaboration, we also received an aggregate of 500,000 Class A shares of Hologen at a nominal price. As of March 31, 2026, Hologen made payments in the aggregate amount of $105.0 million to us as part of its commitment toward the Upfront Payment in advance of the closing of the transactions contemplated under the Framework Agreements.</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On the Hologen Signing Date, we, MeiraGTx Neuro UK Limited (“Meira Neuro UK”), Hologen Neuro AI Limited, a non-cellular company limited by shares incorporated in Guernsey and an affiliate of Hologen (“Hologen Neuro”), and Hologen, entered into that certain Framework Agreement (the “Neuro Framework Agreement”), pursuant to which, on Completion (as defined under the Neuro Framework Agreement), we, Meira Neuro UK, MeiraGTx Neuro I, LLC (“Meira Neuro US”), Hologen, Hologen Neuro and Hologen Neuro AI UK Limited, a private company limited by shares incorporated in England (“Hologen Neuro UK”), would enter into a Collaboration and License Agreement (the “Hologen Collaboration Agreement”) for the research, development, manufacture and commercialization of our (i) AAV-GAD investigational gene therapy for the treatment of Parkinson’s disease, AAV-BDNF investigational gene therapy for the treatment of genetic obesity disorders and other potential locally delivered genetic medicines to the central nervous system (the “Clinical Programs”) and (ii) proprietary device designed to effect the local delivery of a gene therapy product into the central nervous system or any topographic or subcutaneous tissue modification on the face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and scalp, of humans or animals (the “Delivery Device”), in each case, in accordance with the terms and conditions of the Hologen Collaboration Agreement.</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Also on the Hologen Signing Date, MeiraGTx Manufacturing Limited (“Meira Manufacturing”), MeiraGTx Limited and Hologen, entered into that certain Framework Agreement (the “Manufacturing Framework Agreement” and, together with the Neuro Framework Agreement, the “Framework Agreements”), pursuant to which, on Completion (as defined in the Manufacturing Framework Agreement), Hologen would acquire a minority interest in Meira Manufacturing, an entity that comprises our flexible and scalable end-to-end genetic medicines manufacturing business. Hologen would also contribute a portion of the annual funding to Meira Manufacturing.</w:t>
      </w:r>
    </w:p>
    <w:p>
      <w:pPr>
        <w:spacing w:after="0" w:line="187"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On April 2, 2026, the parties to the Framework Agreements entered into Amendment No. 1 to the Deed of Commitment Agreement (“Amendment to Commitment Agreement”) to agree, among other things, (i) to amend the Framework Agreements (A) to provide for additional conditions that must be met prior to Completion (as such term is defined under each of the Framework Agreements) relating to the allocation of the $105.0 million in payments Hologen previously made to us as part of its commitment toward the Upfront Payment as further described below, and (B) to provide that following Completion, Hologen shall fund the remaining portion of the Upfront Payment provided for under the Framework Agreements, and (ii) that Hologen would deploy any funds it raises to pay the remaining portion of the Upfront Payment.</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On April 20, 2026 (the “Hologen Initial Closing Date”), we and certain of our affiliates completed the initial closing of the strategic collaboration with Hologen and certain of its affiliates. Prior to the Hologen Initial Closing Date, Meira Neuro UK, Hologen Neuro and Hologen entered into a subscription agreement pursuant to which Meira Neuro UK subscribed for Class A shares in Hologen Neuro in consideration for the provision of services to Hologen Neuro and Hologen Neuro UK as specified in the Hologen Collaboration Agreement, including services relating to the development of the Clinical Programs and the Delivery Device and certain other transition services, and Hologen subscribed for Class B shares in Hologen Neuro in consideration for a portion of the $105.0 million in payments Hologen previously made to us as part of its commitment toward the Upfront Payment. We then applied a portion of the $105.0 million in payments Hologen previously made to us equal to Hologen’s subscription price to satisfy the portion of the Upfront Payment due to Meira Neuro US under the Neuro Framework Agreement and Hologen Collaboration Agreement. On the Hologen Initial Closing Date, the parties to the Neuro Framework Agreement entered into an amendment to the Neuro Framework Agreement (the “Amendment to the Neuro Framework Agreement”) to, among other things, reflect the pre-closing issuance of the Hologen Neuro shares as additional conditions that needed to be met prior to Completion (as defined under the Neuro Framework Agreement) and to provide that, following Completion, Hologen shall fund the remaining portion of the Upfront Payment provided for under the Neuro Framework Agreement and the Hologen Collaboration Agreement by purchasing a portion of the Class A shares held by Meira Neuro UK, such that following the purchase, such Class A shares purchased by Hologen shall be converted to Class B shares and Hologen shall own 70% of the issued share capital of Hologen Neuro and Meira Neuro UK shall own 30% of the issued share capital of Hologen Neuro.</w:t>
      </w:r>
    </w:p>
    <w:p>
      <w:pPr>
        <w:spacing w:after="0" w:line="19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Additionally, prior to the Hologen Initial Closing Date, MeiraGTx Limited and Hologen entered into a share purchase agreement pursuant to which Hologen purchased shares in Meira Manufacturing from MeiraGTx Limited in consideration for a portion of the $105.0 million in payments Hologen previously made to the Company as part of the Upfront Payment. On the Hologen Initial Closing Date, the parties to the Manufacturing Framework Agreement entered into an amendment to the Manufacturing Framework Agreement (the “Amendment to the Manufacturing Framework Agreement” and, together with the Amendment to the Neuro Framework Agreement, the “Amendments to the Framework Agreements”) to, among other things, reflect Hologen’s pre-closing purchase of the Meira Manufacturing shares as an additional condition that needed to be met prior to Completion (as defined under the Manufacturing Framework Agreement) and to provide that, following Completion, Hologen shall fund the remaining portion of the Upfront Payment provided for under the Manufacturing Framework Agreement by purchasing additional shares in Meira Manufacturing from MeiraGTx Limited (the “Additional Share Purchase”), such that following the Additional Share Purchase, Hologen will continue to own a minority interest in Meira Manufacturing. Under the Amendment to the Manufacturing Framework Agreement, the parties also agreed that (i) Hologen’s exclusive, irrevocable option to purchase additional shares in Meira Manufacturing at a specified price, such that following exercise of such option, Hologen would own up to a maximum of 40% of the issued share capital of Meira Manufacturing in the aggregate, shall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be granted to Hologen on the closing date of the Additional Share Purchase and expire twelve months thereafter and (ii) the Company’s option to purchase all of the shares of Meira Manufacturing held by Hologen for the same price that Hologen paid for such shares if Hologen does not exercise its option begins on the third anniversary of the closing date of the Additional Share Purchase and ends three years thereafter.</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the Hologen Initial Closing Date, we, Meira Neuro UK, Meira Neuro US, Hologen, Hologen Neuro and Hologen Neuro UK entered into the Hologen Collaboration Agreement, pursuant to which Meira Neuro US granted to Hologen Neuro and Hologen Neuro UK, subject to the license granted by Hologen Neuro and Hologen Neuro UK back to Meira Neuro UK, exclusive, worldwide, royalty-free, fully paid-up licenses to certain of our intellectual property rights for the research, development, manufacture and commercialization of the Clinical Programs and the Delivery Device.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 Highlights and Anticipated Milestones</w:t>
      </w:r>
    </w:p>
    <w:p>
      <w:pPr>
        <w:spacing w:after="0" w:line="225" w:lineRule="exact"/>
        <w:rPr>
          <w:sz w:val="20"/>
          <w:szCs w:val="20"/>
          <w:color w:val="auto"/>
        </w:rPr>
      </w:pPr>
    </w:p>
    <w:p>
      <w:pPr>
        <w:ind w:left="60" w:right="179"/>
        <w:spacing w:after="0" w:line="263" w:lineRule="auto"/>
        <w:rPr>
          <w:sz w:val="20"/>
          <w:szCs w:val="20"/>
          <w:color w:val="auto"/>
        </w:rPr>
      </w:pPr>
      <w:r>
        <w:rPr>
          <w:rFonts w:ascii="Times New Roman" w:cs="Times New Roman" w:eastAsia="Times New Roman" w:hAnsi="Times New Roman"/>
          <w:sz w:val="18"/>
          <w:szCs w:val="18"/>
          <w:b w:val="1"/>
          <w:bCs w:val="1"/>
          <w:color w:val="auto"/>
        </w:rPr>
        <w:t>Strategic Acquisition of Botaretigene Sparoparvovec (bota-vec) for the Treatment of X-linked Retinitis Pigmentosa (XLRP):</w:t>
      </w:r>
    </w:p>
    <w:p>
      <w:pPr>
        <w:spacing w:after="0" w:line="1" w:lineRule="exact"/>
        <w:rPr>
          <w:sz w:val="20"/>
          <w:szCs w:val="20"/>
          <w:color w:val="auto"/>
        </w:rPr>
      </w:pPr>
    </w:p>
    <w:p>
      <w:pPr>
        <w:ind w:left="720" w:right="19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an asset purchase agreement with Janssen in April 2026 to acquire full rights to bota-vec, a late-stage therapy for the treatment of X-linked retinitis pigmentosa (XLRP).</w:t>
      </w:r>
    </w:p>
    <w:p>
      <w:pPr>
        <w:ind w:left="720" w:right="11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Janssen a one-time $25.0 million upfront cash consideration and Janssen is eligible to receive a one-time regulatory and commercial milestone tied to U.S. approval and U.S. sales performance of bota-vec, as well as a mid-teens royalty on global net sales starting in mid-2029.</w:t>
      </w:r>
    </w:p>
    <w:p>
      <w:pPr>
        <w:spacing w:after="0" w:line="1" w:lineRule="exact"/>
        <w:rPr>
          <w:rFonts w:ascii="Times New Roman" w:cs="Times New Roman" w:eastAsia="Times New Roman" w:hAnsi="Times New Roman"/>
          <w:sz w:val="18"/>
          <w:szCs w:val="18"/>
          <w:color w:val="auto"/>
        </w:rPr>
      </w:pPr>
    </w:p>
    <w:p>
      <w:pPr>
        <w:ind w:left="720" w:right="419" w:hanging="319"/>
        <w:spacing w:after="0" w:line="290" w:lineRule="auto"/>
        <w:tabs>
          <w:tab w:leader="none" w:pos="7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plan to rapidly advance the program toward global regulatory filings in the U.S., Europe, UK and Japan, leveraging our prior involvement in the program’s development and our established manufacturing readiness.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Bota-vec for the Treatment of X-linked Retinitis Pigmentosa (XLRP):</w:t>
      </w:r>
    </w:p>
    <w:p>
      <w:pPr>
        <w:spacing w:after="0" w:line="31" w:lineRule="exact"/>
        <w:rPr>
          <w:sz w:val="20"/>
          <w:szCs w:val="20"/>
          <w:color w:val="auto"/>
        </w:rPr>
      </w:pPr>
    </w:p>
    <w:p>
      <w:pPr>
        <w:ind w:left="720" w:right="31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XLRP is a rare inherited retinal disease with early onset and progressive degeneration to complete blindness in the third decade of life. There are currently no treatment options.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&gt;20,000 XLRP-RPGR patients in the U.S. and EU.</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LUMEOS study was a global randomized study (n=95). All patients were treated bilaterally.</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Phase 3 LUMEOS trial of bota-vec for the treatment of XLRP was presented at the Foundation Fighting Blindness 2025 Retinal Therapeutics Innovation Summit.</w:t>
      </w:r>
    </w:p>
    <w:p>
      <w:pPr>
        <w:ind w:left="720" w:right="17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of bota-vec was as expected and manageable, with no new safety signals in the Phase 3 study with improved inflammatory profile compared to the Phase 1/2 study.</w:t>
      </w:r>
    </w:p>
    <w:p>
      <w:pPr>
        <w:ind w:left="720" w:right="15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commercial manufacturer of bota-vec, we have successfully completed PPQ. We have a commercial license from the UK Medicines and Healthcare products Regulatory Agency (MHRA) for our London manufacturing facility, as well as a commercial license for our QC facility in Shannon, Ireland where release and stability assays for the product are conducted.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now working to complete regulatory submissions in the U.S., EU, U.K. and Japan.</w:t>
      </w:r>
    </w:p>
    <w:p>
      <w:pPr>
        <w:spacing w:after="0" w:line="20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U.S. Food and Drug Administration (FDA) has granted Fast Track and Orphan Drug Designations to bota-vec, and the regulatory authorities in the EU have granted Priority Medicines, or PRIME, advanced therapy medicinal product, or ATMP, and Orphan Drug Designations to bota-vec.</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and Technology Programs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AAV2-hAQP1 for the Treatment of Radiation-Induced Xerostomia:</w:t>
      </w:r>
    </w:p>
    <w:p>
      <w:pPr>
        <w:spacing w:after="0" w:line="31" w:lineRule="exact"/>
        <w:rPr>
          <w:sz w:val="20"/>
          <w:szCs w:val="20"/>
          <w:color w:val="auto"/>
        </w:rPr>
      </w:pPr>
    </w:p>
    <w:p>
      <w:pPr>
        <w:ind w:left="720" w:right="45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reported positive three-year data from our Phase 1 AQUAx clinical trial (n=24) evaluating AAV2-hAQP1 for the treatment of moderate to severe grade 2/3 radiation-induced xerostomia.</w:t>
      </w:r>
    </w:p>
    <w:p>
      <w:pPr>
        <w:ind w:left="720" w:right="29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demonstrated sustained and clinically meaningful improvements in both patient-reported outcomes and objective measures of salivary flow, with durable effects maintained from 12 months through 36 months post-treatment.</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AAV2-hAQP1 continued to be safe and well-tolerated at each dose tested.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83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were presented on April 16, and a replay is available on the Investors page of our website at investors.meiragtx.com.</w:t>
      </w:r>
    </w:p>
    <w:p>
      <w:pPr>
        <w:jc w:val="both"/>
        <w:ind w:left="720" w:right="73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findings provide strong clinical validation of our salivary gland gene therapy platform and support continued advancement of this treatment not only in the pivotal AQUAx2 study, but also development in additional conditions where dry mouth is a significant patient burden.</w:t>
      </w:r>
    </w:p>
    <w:p>
      <w:pPr>
        <w:spacing w:after="0" w:line="1"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AQUAx2 (NCT05926765) randomized, double-blind, placebo-controlled study at 30 sites in the U.S., Canada and the U.K. is closing this month with the 12 month pivotal data readout on track for the second quarter of 2027 which, if positive, would support a BLA filing and potential approval targeted for the end of 2027 with U.S. launch early in 2028.</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FDA Breakthrough Therapy Designation (BTD) for AAV2-hAQP1:</w:t>
      </w:r>
    </w:p>
    <w:p>
      <w:pPr>
        <w:spacing w:after="0" w:line="31" w:lineRule="exact"/>
        <w:rPr>
          <w:sz w:val="20"/>
          <w:szCs w:val="20"/>
          <w:color w:val="auto"/>
        </w:rPr>
      </w:pPr>
    </w:p>
    <w:p>
      <w:pPr>
        <w:ind w:left="1040" w:right="25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granted BTD to AAV2-hAQP1 for the treatment of grade 2 and grade 3 radiation-induced xerostomia caused by radiotherapy for cancers of the upper aerodigestive tract in March 2026.</w:t>
      </w:r>
    </w:p>
    <w:p>
      <w:pPr>
        <w:spacing w:after="0" w:line="1"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was supported by 3-year data from the 24 patient Phase 1 AQUAx study in long term moderate to severe radiation induced xerostomia.</w:t>
      </w:r>
    </w:p>
    <w:p>
      <w:pPr>
        <w:ind w:left="1040" w:right="619" w:hanging="315"/>
        <w:spacing w:after="0" w:line="26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BTD is for serious or life-threatening conditions and enables enhanced engagement with the FDA and potential for priority review.</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AAV-GAD for the Treatment of Parkinson’s Disease:</w:t>
      </w:r>
    </w:p>
    <w:p>
      <w:pPr>
        <w:spacing w:after="0" w:line="31" w:lineRule="exact"/>
        <w:rPr>
          <w:sz w:val="20"/>
          <w:szCs w:val="20"/>
          <w:color w:val="auto"/>
        </w:rPr>
      </w:pPr>
    </w:p>
    <w:p>
      <w:pPr>
        <w:ind w:left="720" w:right="199" w:hanging="319"/>
        <w:spacing w:after="0" w:line="250"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granted Regenerative Medicine Advanced Therapy (RMAT) designation to AAV-GAD for the treatment of Parkinson’s disease not adequately controlled with medication in 2025.</w:t>
      </w:r>
    </w:p>
    <w:p>
      <w:pPr>
        <w:jc w:val="both"/>
        <w:ind w:left="720" w:right="279" w:hanging="319"/>
        <w:spacing w:after="0" w:line="250"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RMAT was awarded based on data demonstrating statistically significant efficacy in 2 double-blind sham-surgery controlled studies, a Phase 2 study (n=45), and a Phase 1/2 clinical bridging study (n=14) following the successful Phase 1 dose escalation study (n=14).</w:t>
      </w:r>
    </w:p>
    <w:p>
      <w:pPr>
        <w:spacing w:after="0" w:line="1" w:lineRule="exact"/>
        <w:rPr>
          <w:rFonts w:ascii="Times New Roman" w:cs="Times New Roman" w:eastAsia="Times New Roman" w:hAnsi="Times New Roman"/>
          <w:sz w:val="18"/>
          <w:szCs w:val="18"/>
          <w:color w:val="auto"/>
        </w:rPr>
      </w:pPr>
    </w:p>
    <w:p>
      <w:pPr>
        <w:ind w:left="720" w:right="359" w:hanging="319"/>
        <w:spacing w:after="0" w:line="250"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application also included the use of novel AI developed by our JV partner, Hologen, which demonstrated potential disease modification resulting from treatment.</w:t>
      </w:r>
    </w:p>
    <w:p>
      <w:pPr>
        <w:ind w:left="720" w:right="239" w:hanging="319"/>
        <w:spacing w:after="0" w:line="260"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engaging with clinical trial sites globally and expect to initiate the Phase 3 study of AAV-GAD in the coming months.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AAV-AIPL1 for LCA4:</w:t>
      </w:r>
    </w:p>
    <w:p>
      <w:pPr>
        <w:spacing w:after="0" w:line="31" w:lineRule="exact"/>
        <w:rPr>
          <w:sz w:val="20"/>
          <w:szCs w:val="20"/>
          <w:color w:val="auto"/>
        </w:rPr>
      </w:pPr>
    </w:p>
    <w:p>
      <w:pPr>
        <w:jc w:val="both"/>
        <w:ind w:left="720" w:right="399" w:hanging="319"/>
        <w:spacing w:after="0" w:line="265" w:lineRule="auto"/>
        <w:tabs>
          <w:tab w:leader="none" w:pos="7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entered into a strategic collaboration with Lilly, granting Lilly worldwide exclusive rights to meduretgene parvec, or medu-vec (formerly referred to as AAV-AIPL1) program for Leber congenial amaurosis 4 (LCA4).</w:t>
      </w:r>
    </w:p>
    <w:p>
      <w:pPr>
        <w:ind w:left="720" w:right="159" w:hanging="319"/>
        <w:spacing w:after="0" w:line="25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agreement, Lilly also received worldwide exclusive access rights to our innovative gene therapy technologies for use in ophthalmology with certain targets designated by Lilly, including novel intravitreal capsids developed in-house at MeiraGTx and bespoke promoters including AI-generated cell specific promoters.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granted Lilly certain rights to our proprietary riboswitch technology for use in gene editing in the eye.</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an upfront payment of $75.0 million and are eligible to receive over $400.0 million in total milestone payments. We are also eligible to receive tiered royalties on licensed products.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Riboswitch Gene Regulation Technology Platform for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Delivery:</w:t>
      </w:r>
    </w:p>
    <w:p>
      <w:pPr>
        <w:spacing w:after="0" w:line="31" w:lineRule="exact"/>
        <w:rPr>
          <w:sz w:val="20"/>
          <w:szCs w:val="20"/>
          <w:color w:val="auto"/>
        </w:rPr>
      </w:pPr>
    </w:p>
    <w:p>
      <w:pPr>
        <w:jc w:val="both"/>
        <w:ind w:left="720" w:right="599" w:hanging="319"/>
        <w:spacing w:after="0" w:line="265" w:lineRule="auto"/>
        <w:tabs>
          <w:tab w:leader="none" w:pos="7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Riboswitch technology is a powerful platform that transforms the potential of biologic therapeutics by providing a broadly applicable mechanism for the precise dosing of any protein, hormone or peptide that is encoded by DNA via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production in direct dose response to bespoke oral small molecule inducers.</w:t>
      </w:r>
    </w:p>
    <w:p>
      <w:pPr>
        <w:ind w:left="720" w:right="459" w:hanging="319"/>
        <w:spacing w:after="0" w:line="250"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progressing our first riboswitch program into the clinic in metabolic disease with native human leptin (Ribo-Leptin).</w:t>
      </w: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iterative discussion with the FDA to open a Ribo-Leptin IND later this year.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in IND enabling studies for a second riboswitch regulated vector for neuropathic pain.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Strengthened Balance Sheet with $100 Million Financing:</w:t>
      </w:r>
    </w:p>
    <w:p>
      <w:pPr>
        <w:spacing w:after="0" w:line="31" w:lineRule="exact"/>
        <w:rPr>
          <w:sz w:val="20"/>
          <w:szCs w:val="20"/>
          <w:color w:val="auto"/>
        </w:rPr>
      </w:pPr>
    </w:p>
    <w:p>
      <w:pPr>
        <w:ind w:left="720" w:right="339" w:hanging="319"/>
        <w:spacing w:after="0" w:line="26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announced the pricing of an underwritten offering of 11,111,111 of our ordinary shares at an offering price of $9.00 per share, generating gross proceeds of approximately $100.0 million.</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Revenue – Related Party</w:t>
      </w:r>
    </w:p>
    <w:p>
      <w:pPr>
        <w:spacing w:after="0" w:line="189"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Our service revenue consisted of the PPQ services performed in connection with the Original Asset Purchase Agreement and related agreements.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operating expenses since inception have consisted primarily of general and administrative costs and research and development costs. Beginning in 2024, we incurred expenses classified as cost of service revenue – related party performed in connection with the Original Asset Purchase Agreement and related agreements. The Original Asset Purchase Agreement was terminated in April 2026.</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Cost of Service Revenue – Related Party</w:t>
      </w:r>
    </w:p>
    <w:p>
      <w:pPr>
        <w:spacing w:after="0" w:line="187"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Our cost of service revenue consisted of the PPQ services performed in connection with the Original Asset Purchase Agreement and related agreements.</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our executive, finance, legal, business development and administrative functions. General and administrative expenses also include legal fees relating to intellectual property and corporate matters; professional fees for accounting, auditing, tax and consulting services; insurance costs; travel expenses; and office facility-related expenses, which include direct depreciation costs.</w:t>
      </w:r>
    </w:p>
    <w:p>
      <w:pPr>
        <w:spacing w:after="0" w:line="143"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increased expenses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121" w:lineRule="exact"/>
        <w:rPr>
          <w:sz w:val="20"/>
          <w:szCs w:val="20"/>
          <w:color w:val="auto"/>
        </w:rPr>
      </w:pPr>
    </w:p>
    <w:p>
      <w:pPr>
        <w:ind w:left="1380" w:right="51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 of our research and development personnel;</w:t>
      </w:r>
    </w:p>
    <w:p>
      <w:pPr>
        <w:spacing w:after="0" w:line="134"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third-party vendors that conduct clinical and preclinical studies and manufacture the drug product for the clinical trials and preclinical activities;</w:t>
      </w:r>
    </w:p>
    <w:p>
      <w:pPr>
        <w:spacing w:after="0" w:line="121"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clinical and preclinical activities including costs related to facilities, supplies, rent, insurance, certain legal fees, share-based compensation, and depreciation; and</w:t>
      </w:r>
    </w:p>
    <w:p>
      <w:pPr>
        <w:spacing w:after="0" w:line="12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with the development and operation of our manufacturing facilities.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Research and development activities are central to our business model. We expect to continue incurring increasing research and development costs associated with our clinical activities for AAV-hAQP1 for the treatment of radiation-induced xerostomia and bota-vec for the treatment of XLRP associated with mutations in the </w:t>
      </w:r>
      <w:r>
        <w:rPr>
          <w:rFonts w:ascii="Times New Roman" w:cs="Times New Roman" w:eastAsia="Times New Roman" w:hAnsi="Times New Roman"/>
          <w:sz w:val="18"/>
          <w:szCs w:val="18"/>
          <w:i w:val="1"/>
          <w:iCs w:val="1"/>
          <w:color w:val="auto"/>
        </w:rPr>
        <w:t>RPGR</w:t>
      </w:r>
      <w:r>
        <w:rPr>
          <w:rFonts w:ascii="Times New Roman" w:cs="Times New Roman" w:eastAsia="Times New Roman" w:hAnsi="Times New Roman"/>
          <w:sz w:val="18"/>
          <w:szCs w:val="18"/>
          <w:color w:val="auto"/>
        </w:rPr>
        <w:t xml:space="preserve"> gene, as well as for AAV-GAD for the treatment of Parkinson’s disease, although certain of these increases relating to AAV-GAD are expected to be offset by the funding provided by Hologen as part of the strategic collaboration we entered into with them. We also expect to continue to incur costs relating to AAV-AIPL1 for the treatment of LCA4, which costs can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be offset by the funding in connection with the Lilly Collaboration Agreement. In addition, we expect to continue to incur expenses related to research activities in additional therapeutic areas to expand our pipeline and develop our potentially transformative gene regulation technology.</w:t>
      </w:r>
    </w:p>
    <w:p>
      <w:pPr>
        <w:spacing w:after="0" w:line="17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future clinical trials of our product candidates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duration, costs and timing of clinical trials and development of our existing product candidates or any other product candidate we may develop will depend on a variety of factors, including:</w:t>
      </w:r>
    </w:p>
    <w:p>
      <w:pPr>
        <w:spacing w:after="0" w:line="187" w:lineRule="exact"/>
        <w:rPr>
          <w:sz w:val="20"/>
          <w:szCs w:val="20"/>
          <w:color w:val="auto"/>
        </w:rPr>
      </w:pPr>
    </w:p>
    <w:p>
      <w:pPr>
        <w:jc w:val="both"/>
        <w:ind w:left="1040" w:right="139" w:hanging="315"/>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clinical trials of our existing product candidates, as well as of any future clinical trials of other product candidates and other research and development activities that we may conduct;</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rates;</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early clinical data, competition, manufacturing capability and commercial viability;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62"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U.S. Food and Drug Administration (the “FDA”) or another U.S. or foreign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non-operating income (expense) includes the following:</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Currency (Loss) Gain</w:t>
      </w:r>
    </w:p>
    <w:p>
      <w:pPr>
        <w:spacing w:after="0" w:line="227"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Our condensed consolidated financial statements are presented in U.S. dollars, which is our reporting currency. The financial position and results of operations of our subsidiaries are measured using the foreign subsidiaries’ local currency as the functional currency, either the pound sterling or the euro. These entities’ cash accounts holding U.S. dollars and intercompany payables and receivables are remeasured based upon the exchange rate at the date of remeasurement with the resulting gain or loss included in the condensed consolidated statements of operations and comprehensive loss.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income is comprised of interest earned on our interest-bearing bank accounts.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expense and amortization of the debt discount in connection with the debt financing described in Note 11 to our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Gain (Loss)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comprehensive gain (loss) includes the following:</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Currency Translation Gain (Loss)</w:t>
      </w:r>
    </w:p>
    <w:p>
      <w:pPr>
        <w:spacing w:after="0" w:line="22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Revenue and expenses of subsidiaries have been translated into U.S. dollars at average exchange rates prevailing during the period. Assets and liabilities have been translated at the rates of exchange on the condensed consolidated balance sheet date. The resulting translation gain and loss adjustments are recorded directly as a separate component of shareholders’ equity and as other comprehensive gain (loss) on the condensed consolidated statements of operations and comprehensive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and judgements that affect the reporting amounts of assets, liabilities, revenues and expenses and the disclosure of contingent assets and liabilities in our condensed consolidated financial statements. On an ongoing basis, we evaluate our estimates and judgements, including those related to service revenue, share-based compensation and accrued expenses. We base our estimates on historical experience, known trends and events and various other factors that we believe to be reasonable under the circumstances, the results of which form the basis for making judgements about the carrying value of assets and liabilities that are not readily apparent from our sources. Actual results may differ from these estimates under different assumptions.</w:t>
      </w:r>
    </w:p>
    <w:p>
      <w:pPr>
        <w:spacing w:after="0" w:line="18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significant judgements and estimates are included in the Company’s Form 10-K for the year ended December 31, 2025 and Note 2 to our unaudited condensed consolidated financial statements included elsewhere in this Form 10-Q.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18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 related party</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Cost of service revenue - related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party</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(39,981)</w:t>
            </w:r>
          </w:p>
        </w:tc>
        <w:tc>
          <w:tcPr>
            <w:tcW w:w="22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Service Revenue – Related Party</w:t>
      </w:r>
    </w:p>
    <w:p>
      <w:pPr>
        <w:spacing w:after="0" w:line="22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Service revenue was $0.3 million for the three months ended March 31, 2026, compared to $1.9 million for the three months ended March 31, 2025. The decrease of $1.6 million was due to decreased activity of PPQ services under the Original Asset Purchase Agreement and related agreements as the work was substantially completed in the first half of 2025.</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Cost of Service Revenue – Related Party</w:t>
      </w:r>
    </w:p>
    <w:p>
      <w:pPr>
        <w:spacing w:after="0" w:line="227"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Cost of service revenue was $0.2 million for the three months ended March 31, 2026 compared to $1.4 million for the three months ended March 31, 2025. The decrease of $1.2 million was due to decreased activity of PPQ services under the Original Asset Purchase Agreement and related agreements as the work was substantially completed in the first half of 2025.</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$8.9 million for the three months ended March 31, 2026, compared to $9.3 million for the three months ended March 31, 2025. The decrease of $0.4 million was primarily due to lower personnel related costs, including a decrease of $1.7 million in payroll expense primarily due to lower bonus accruals, as well as a $0.2 million decrease in share-based compensation expense due to vesting in prior periods and a decrease of $0.3 million in facilities costs. These decreases were partially offset by a $0.5 million increase in professional services costs. In addition, the prior year included a $1.3 million release of asset retirement obligation provisions related to U.S. office and laboratory leases, which did not recur in the current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were as follows (in thousands):</w:t>
      </w:r>
    </w:p>
    <w:p>
      <w:pPr>
        <w:spacing w:after="0" w:line="124"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Three-Month Periods Ended March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AAV-hAQP1</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AAV-GAD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ocular diseases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4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Preclinical Programs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 regulation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Neurodegenerative diseases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Ocular diseases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Clinical program expenses represent the direct costs for each clinical trial plus the cost of the clinical trial material charged from the manufacturing costs.</w:t>
      </w:r>
    </w:p>
    <w:p>
      <w:pPr>
        <w:spacing w:after="0" w:line="108"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Manufacturing expenses represent the costs to manufacture clinical trial material, including payroll, facilities, manufacturing supplies, raw materials, quality control and quality assurance. Upon completion of the manufacture of a batch of clinical trial material, the standard cost of manufacturing the batch of clinical trial material is charged to the clinical programs.</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Preclinical program expenses represent the direct costs for each group of preclinical programs.</w:t>
      </w:r>
    </w:p>
    <w:p>
      <w:pPr>
        <w:spacing w:after="0" w:line="171"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Other research and development expenses represent costs that are not allocated to a specific clinical or preclinical program, such as payroll and payroll related costs, share-based compensation, travel, rent and facilities costs, depreciation and other non-program specific expenses.</w:t>
      </w:r>
    </w:p>
    <w:p>
      <w:pPr>
        <w:spacing w:after="0" w:line="12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$32.0 million for the three months ended March 31, 2026, compared to $32.8 million for the three months ended March 31, 2025. The decrease of $0.8 million was primarily due to decreases in other ocular diseases and AAV-hAQP1 clinical programs, as there were no clinical trial material batches manufactured during the three months ended March 31, 2026 and overall lower clinical trial-related spend for AAV-GAD and AAV-hAQP1. In addition, costs associated with our preclinical programs for gene regulation and neurodegenerative diseases decreased compared to the prior year, primarily due to the completion of certain preclinical studies in 2025. These decreases were partially offset by an increase in manufacturing costs as there was no clinical trial material batch costs to allocate to our clinical programs as no batches were produced during the three months ended March 31, 2026, as well as a lower allocation of costs to cost of service revenue reflecting PPQ services provided under the Original Asset Purchase Agreement and related agreements being substantially completed during the first half of 2025.</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Currency (Loss) Gain</w:t>
      </w:r>
    </w:p>
    <w:p>
      <w:pPr>
        <w:spacing w:after="0" w:line="20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Foreign currency loss was $2.8 million for the three months ended March 31, 2026 compared to a gain of $3.7 million for the three months ended March 31, 2025. The change of $6.5 million was primarily due to the strengthening of the U.S. dollar against the pound sterling and euro as it relates to the valuation of our intercompany payables and receivables.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 income was $0.2 million for the three months ended March 31, 2026 compared to $1.0 million for the three months ended March 31, 2025. The decrease of $0.8 million was due to lower interest rates and cash balances held in interest bearing accounts during 2026.</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Interest expense was $2.8 million for the three months ended March 31, 2026 compared to $3.0 million for the three months ended March 31, 2025. The decrease of $0.2 million was primarily due to a lower interest rate in connection with the debt financing described in Note 11 to our unaudited condensed consolidated financial statements included elsewhere in this Form 10-Q.</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For the three months ended March 31, 2026, we had $17.8 million provided by cash flows from operations. There are no assurances that we will generate positive cash flows in the future. Additionally, there are no assurances that we will be successful in obtaining an adequate level of financing for the development and commercialization of our product candidates. We expect to incur significant expenses and operating losses for the foreseeable future as we advance the preclinical and clinical development of our product candidates. We expect that our research and development and general and administrative costs will increase in connection with conducting preclinical studies and clinical trials for our product candidates, building out internal capacity to have products manufactured to support preclinical studies and clinical trials as well as to manufacture commercial products, expanding our intellectual property portfolio, and providing general and administrative support for our operations. As a result of these incurred and expected expenses we will need additional capital to fund our operations, which we may obtain from additional equity or debt financings, collaborations, licensing arrangements, or other sources.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We have historically financed our operations primarily through cash on hand and proceeds from the sale of our equity securities, issuance of debt and upfront and milestone payments from our collaboration and business development activities and asset sales.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Based on our current cash, cash equivalents, and tax incentive receivable at March 31, 2026, together with the $100.0 million gross proceeds from the public equity offering in the second quarter of 2026 and the remaining $95.0 million upfront payment due from Hologen and associated reimbursements, we estimate that such funds will be sufficient to enable us to fund our operating expenses and capital expenditure requirements into the second half of 2028, including the $25.0 million upfront cash payment to Janssen for the reacquisition of bota-vec and the repayment of our debt obligation to Perceptive of $25.0 million (due in June 2026) and $50.0 million (due in July 2027) under the Notes Purchase Agreement. We have based these estimates on assumptions that may prove to be wrong, and we could utilize our available capital resources sooner than we expect.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we had $73.8 million of cash, cash equivalents and restricted cash.</w:t>
      </w:r>
    </w:p>
    <w:p>
      <w:pPr>
        <w:spacing w:after="0" w:line="22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cash equivalents and restricted cash for the period presented:</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6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56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0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-582295</wp:posOffset>
            </wp:positionV>
            <wp:extent cx="49117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11725" cy="137160"/>
                    </a:xfrm>
                    <a:prstGeom prst="rect">
                      <a:avLst/>
                    </a:prstGeom>
                    <a:noFill/>
                  </pic:spPr>
                </pic:pic>
              </a:graphicData>
            </a:graphic>
          </wp:anchor>
        </w:drawing>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operating activities was $17.8 million. This primarily reflects a net loss of $46.3 million, partially offset by $55.0 million in advance payments received from Hologen. The net loss was driven by expenses related to our clinical programs, manufacturing of clinical trial materials, preclinical research activities and general and administrative costs. It included $10.9 million of non-cash items, consisting primarily of $3.7 million of share-based compensation, $3.0 million of depreciation and amortization, $2.8 million of foreign exchange losses, $0.2 million of amortization of debt discount, $0.7 million of change in right-of-use assets and $0.5 million of acquired in-process research and development. In addition, changes in working capital contributed to operating cash flows, with operating assets increasing by $0.9 million and operating liabilities decreasing by $2.7 million, excluding the advance payments received from Hologen.</w:t>
      </w:r>
    </w:p>
    <w:p>
      <w:pPr>
        <w:spacing w:after="0" w:line="18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our cash used in operating activities of $36.8 million was primarily due to a net loss of $40.0 million as we incurred expenses associated with research activities on our clinical programs, manufacturing of our clinical trial materials, preclinical research programs and general and administrative expenses. The net loss included non-cash income and expense of $7.4 million, which consisted primarily of $4.9 million of share-based compensation, $4.3 million change in right-of-use-assets, $3.1 million of depreciation and amortization and $0.3 million of non-cash interest offset by $3.7 million of a foreign currency gain, $1.4 million of a gain on termination of lease liabilities and a $0.1 million gain on disposal of equipment, furniture and fixtures. Additionally, operating assets, consisting of accounts receivable – related party, contract assets – related party, inventory, prepaid expenses, tax incentive receivable and other current assets, decreased by $6.9 million and operating liabilities, consisting of accounts payable, accrued expenses, change in lease liabilities, other current liabilities and deferred revenue – related party, decreased by $11.2 million.</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of $2.3 million consisted of purchases of property and equipment for our manufacturing, laboratory and process development facilities and the acquisition of in-process research and development assets.</w:t>
      </w:r>
    </w:p>
    <w:p>
      <w:pPr>
        <w:spacing w:after="0" w:line="17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of $1.7 million consisted of purchases of property and equipment for our manufacturing, laboratory and process development facilities.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$10.1 million for the three months ended March 31, 2026, which consisted of $14.0 million net proceeds from an “at-the-market” offering of our ordinary shares which was offset by the payment of $6.0 million to cover tax withholding obligations upon the vesting of restricted share unit awards, $0.1 million from the exercise of share options and payment of $18.2 million to repurchase 2.3 million of our ordinary shares from Perceptive Life Sciences Master Fund, Ltd. pursuant to a share purchase agreement.</w:t>
      </w:r>
    </w:p>
    <w:p>
      <w:pPr>
        <w:spacing w:after="0" w:line="183"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$1.7 million for the three months ended March 31, 2025, which consisted of $4.5 million net proceeds from an “at-the-market” offering of our ordinary shares, offset by the payment of $2.8 million to cover tax withholding obligations upon the vesting of restricted share unit awards.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under applicable SEC rules and do not have any holdings in variable interest entities.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following section updates “Item 7A. Quantitative and Qualitative Disclosures of Market Risk” in the Annual Report on Form 10-K for the fiscal year ended December 31, 2025 and should be read in conjunction with that report as well as our condensed consolidated financial statements included in “Part 1, Item 1. Financial Statements” of this Quarterly Report on Form 10-Q.</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currently operate in the United States, the United Kingdom and the European Union. Our activities in these jurisdictions expose us to currency exchange rate fluctuations, primarily between the U.S. Dollar and the British pound sterling and euro. When the U.S. Dollar strengthens against these currencies, the U.S. Dollar value of non-U.S. Dollar based losses increases. To the extent that our international activities recorded in local currencies increase in the future, our exposure to fluctuations in currency exchange rates will correspondingly increase. As of March 31, 2026, we did not hold any foreign currency forward contracts. With respect to our foreign currency exposures as of March 31, 2026, we estimate a 10% unfavorable movement in foreign currency exchange rates would have the effect of creating an additional foreign currency loss of approximately $13.7 million within other non-operating income (expense) for the three months ended March 31, 2026.</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We are exposed to market risk as a result of changes in interest rates applicable to borrowings under our Notes Purchase Agreement. Borrowings under the Notes Purchase Agreement bear interest at a fluctuating rate per annum equal to 10.00% plus the secured overnight financing rate (“SOFR”) administered by the Federal Reserve Bank of New York for a one-month tenor, subject to a 1.00% floor. See Note 11 to our unaudited condensed consolidated financial statements included elsewhere in this Form 10-Q. We may use interest rate cap derivatives, interest rate swaps or other interest rate hedging instruments to economically hedge and manage interest rate risk with respect to our variable floating rate debt. As of March 31, 2026, the annual interest rate was 13.70% and the outstanding balance of the term loan was $75.0 million. Assuming no change in the outstanding borrowings under the Notes Purchase Agreement, we estimate that a hypothetical 1% increase in the SOFR would increase our annual interest expense by approximately $0.8 million as of March 31, 2026.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left="60" w:right="139" w:firstLine="432"/>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firstLine="427"/>
        <w:spacing w:after="0" w:line="274"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(principal executive officer) and our Chief Financial Officer (principal financial officer), evaluated, as of the end of the period covered by this Form 10-Q, the effectiveness of our disclosure controls and procedures (as defined in Rules 13a-15(e) and 15d-15(e) under the Securities Exchange Act of 1934, as amended (the “Exchange Act”)). Based on that evaluation, our Chief Executive Officer (principal executive officer) and Chief Financial Officer (principal financial officer) concluded that our disclosure controls and procedures were effective at the reasonable assurance level at the end of the period covered by this Form 10-Q.</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consider carefully the risks described below, together with the other information included or incorporated by reference in this Form 10-Q. If any of the following risks occur, our business, financial condition, results of operations and future growth prospects could be materially and adversely affected. In these circumstances, the market price of our ordinary shares could decline. Other events that we do not currently anticipate or that we currently deem immaterial may also affect our business, prospects, financial condition and results of operations.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incur continued losses for the foreseeable future, and may never achieve or maintain profitability.</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a clinical stage company with limited operating history. We were formed and began operations in 2015. We have never been profitable and do not expect to be profitable in the foreseeable future. We have incurred net losses since inception, including net losses of approximately $46.3 million and $40.0 million for the three months ended March 31, 2026, and 2025, respectively. As of March 31, 2026, we had an accumulated deficit of approximately $862.5 million. Since our inception, we have devoted substantially all of our resources to developing our technology platform, establishing our viral vector manufacturing facilities and plasmid and DNA production facility, developing manufacturing processes, advancing the product candidates in our ophthalmology, salivary gland and neurodegenerative disease programs, research and development activities, including our riboswitch gene regulation platform technology, building our intellectual property portfolio, organizing and staffing our company, developing our business plans, raising capital, securing debt financing and providing general and administrative support for these operations. We have not yet demonstrated an ability to successfully complete large-scale, pivotal clinical trials, obtain marketing approval, manufacture product at a commercial scale, or arrange for a third party to do so on our behalf, or conduct sales and marketing activities necessary for successful product commercialization. Given the length of time typically needed to develop a new drug from the time it enters Phase 1 clinical trials to when it is approved for treating patients, if ever, predictions about our future success or viability may not be as accurate as they could be if we had a longer operating history or a history of successfully developing and commercializing genetic medicine products.</w:t>
      </w:r>
    </w:p>
    <w:p>
      <w:pPr>
        <w:spacing w:after="0" w:line="19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expect to continue to incur significant expenses and additional operating losses for the foreseeable future as we seek to advance product candidates through preclinical and clinical development, expand our research, development and manufacturing activities, develop new product candidates, build and expand our intellectual product portfolio, complete clinical trials, seek regulatory approval and, if we receive regulatory approval, commercialize our products. Furthermore, the costs of advancing product candidates into each succeeding clinical phase tend to increase substantially over time, including the ongoing Phase 2 AQUAx2 clinical trial of AAV-hAQP1 for the treatment of patients with radiation-induced xerostomia. In addition, we expect to continue incurring increasing research and development costs associated with our clinical activities for AAV-GAD for the treatment of Parkinson’s disease, although certain of these increases are expected to be offset by the funding provided by Hologen as part of the strategic collaboration we entered into with them, as well as increasing research, preclinical and clinical activities for our riboswitch platform. We also expect to incur costs related to the long-term follow up study for patients that enrolled in the Phase 3 LUMEOS clinical trial of bota-vec for the treatment of XLRP, as well as costs related to regulatory activities. The total costs to advance any of our product candidates to marketing approval in even a single jurisdiction would be substantial. Because of the numerous risks and uncertainties associated with gene therapy product development, we are unable to accurately predict the timing or amount of increased expenses or whether we will be able to begin generating revenue from the commercialization of products or achieve or maintain profitability.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Before we generate any revenue from product sales, each of our programs and product candidates will require additional preclinical and/or clinical development, potential regulatory approval in multiple jurisdictions, manufacturing, building of a commercial organization, substantial investment and significant marketing efforts. Our expenses could increase beyond expectations if we are required by the FDA, UK Medicines and Healthcare products Regulatory Agency (the “MHRA”), European Medicines Agency (the “EMA”), or other regulatory authorities to perform preclinical studies and clinical trials in addition to those that we currently anticipate. These risks are further described under “—Risks Related to Discovery, Development, Clinical Testing, Manufacturing and Regulatory Approval” and “—Risks Related to Commercialization.” As a result, we expect to continue to incur net losses for the foreseeable future. These net losses have had, and will continue to have, an adverse effect on our shareholders’ equity and working capital.</w:t>
      </w:r>
    </w:p>
    <w:p>
      <w:pPr>
        <w:spacing w:after="0" w:line="188"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 If we are unable to develop and commercialize one or more of our product candidates either alone or with collaborators, or if revenues from any product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adversely affected.</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which may not be available on acceptable terms, if at all.</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expect to spend substantial amounts to complete the development of, seek regulatory approvals for and commercialize our product candidates, as well as maintain and/or expand our manufacturing and supply chain capabilities. This will require additional capital, which we may raise through equity offerings, debt financings, marketing and distribution arrangements and other collaborations, strategic alliances and licensing arrangements or other sources. Our ability to raise additional capital when needed has been and may in the future be adversely affected by external factors beyond our control, including changes in the political climate, geopolitical actions, changes in market interest rates, potential reforms and changes to government regulations, the effect of healthcare reform legislation, including those that may limit pricing of pharmaceutical products and drugs, market prices and conditions, prospects for favorable or unfavorable clinical trial results, new product initiatives, the manufacturing and distribution of new products, product safety and efficacy issues, new collaborations and strategic alliances and licensing arrangements.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has diverted and may in the future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As of March 31, 2026, our cash, cash equivalents and restricted cash were $73.8 million. Based on our cash, cash equivalents, and tax incentive receivable at March 31, 2026, together with the $100.0 million gross proceeds from the public equity offering in the second quarter of 2026 and the remaining $95.0 million upfront payment due from Hologen and associated reimbursements, we estimate that such funds will be sufficient to enable us to fund our operating expenses and capital expenditure requirements into the second half of 2028, including the $25.0 million upfront cash payment to Janssen for the reacquisition of bota-vec and the repayment of our debt obligation to Perceptive of $25.0 million (due in June 2026) and $50.0 million (due in July 2027) under the Notes Purchase Agreement. This estimate is based on assumptions that may prove to be wrong, and we could use our available capital resources sooner than we currently expect. Changing circumstances could cause us to spend more than expected or consume capital significantly faster than we currently anticipate, such as inflation or other factors that may significantly increase our business costs. Because the length of time and activities associated with successful development of our product candidates is uncertain, we are unable to estimate the actual funds we will require for development and any approved marketing and commercialization activities. Our future funding requirements, both near and long-term, will depend on many factors, including, but not limited to:</w:t>
      </w:r>
    </w:p>
    <w:p>
      <w:pPr>
        <w:spacing w:after="0" w:line="197" w:lineRule="exact"/>
        <w:rPr>
          <w:sz w:val="20"/>
          <w:szCs w:val="20"/>
          <w:color w:val="auto"/>
        </w:rPr>
      </w:pPr>
    </w:p>
    <w:p>
      <w:pPr>
        <w:jc w:val="both"/>
        <w:ind w:left="1380" w:right="179" w:hanging="331"/>
        <w:spacing w:after="0" w:line="26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clinical development for our radiation-induced xerostomia product candidate, AAV-hAQP1, and for our product candidate for the treatment of Parkinson’s disease, AAV-GAD;</w:t>
      </w:r>
    </w:p>
    <w:p>
      <w:pPr>
        <w:spacing w:after="0" w:line="175" w:lineRule="exact"/>
        <w:rPr>
          <w:rFonts w:ascii="Times New Roman" w:cs="Times New Roman" w:eastAsia="Times New Roman" w:hAnsi="Times New Roman"/>
          <w:sz w:val="18"/>
          <w:szCs w:val="18"/>
          <w:color w:val="auto"/>
        </w:rPr>
      </w:pPr>
    </w:p>
    <w:p>
      <w:pPr>
        <w:jc w:val="both"/>
        <w:ind w:left="1380" w:right="399" w:hanging="331"/>
        <w:spacing w:after="0" w:line="26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ongoing clinical development for our AAV-AIPL1 gene therapy product candidate under the Lilly Collaboration Agreement, which costs can be offset by the funding provided in connection with the Lilly Collaboration Agreement;</w:t>
      </w:r>
    </w:p>
    <w:p>
      <w:pPr>
        <w:spacing w:after="0" w:line="175" w:lineRule="exact"/>
        <w:rPr>
          <w:rFonts w:ascii="Times New Roman" w:cs="Times New Roman" w:eastAsia="Times New Roman" w:hAnsi="Times New Roman"/>
          <w:sz w:val="18"/>
          <w:szCs w:val="18"/>
          <w:color w:val="auto"/>
        </w:rPr>
      </w:pPr>
    </w:p>
    <w:p>
      <w:pPr>
        <w:ind w:left="1380" w:right="379" w:hanging="331"/>
        <w:spacing w:after="0" w:line="261"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ongoing clinical development for our X-linked retinitis pigmentosa product candidate, bota-vec, including costs related to the long-term follow up study for patients that enrolled in the Phase 3 LUMEOS clinical trial of bota-vec for the treatment of XLRP, as well as costs related to our regulatory activities;</w:t>
      </w:r>
    </w:p>
    <w:p>
      <w:pPr>
        <w:spacing w:after="0" w:line="179"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transformative riboswitch gene regulation platform technology designed to precisely and specifically control gene therapy expression levels via dose-response to orally delivered small molecules;</w:t>
      </w:r>
    </w:p>
    <w:p>
      <w:pPr>
        <w:spacing w:after="0" w:line="175" w:lineRule="exact"/>
        <w:rPr>
          <w:rFonts w:ascii="Times New Roman" w:cs="Times New Roman" w:eastAsia="Times New Roman" w:hAnsi="Times New Roman"/>
          <w:sz w:val="18"/>
          <w:szCs w:val="18"/>
          <w:color w:val="auto"/>
        </w:rPr>
      </w:pPr>
    </w:p>
    <w:p>
      <w:pPr>
        <w:ind w:left="1380" w:right="239" w:hanging="331"/>
        <w:spacing w:after="0" w:line="26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 for the treatment of ALS, AAV-UPF1, our product candidate for the treatment of xerostomia associated with Sjogren’s syndrome, AAV-hAQP1, and our product candidate for the treatment of neovascular age related macular degeneration, or wet AMD;</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receive the milestone payments under the Lilly Collaboration Agreement;</w:t>
      </w:r>
    </w:p>
    <w:p>
      <w:pPr>
        <w:spacing w:after="0" w:line="225" w:lineRule="exact"/>
        <w:rPr>
          <w:rFonts w:ascii="Times New Roman" w:cs="Times New Roman" w:eastAsia="Times New Roman" w:hAnsi="Times New Roman"/>
          <w:sz w:val="18"/>
          <w:szCs w:val="18"/>
          <w:color w:val="auto"/>
        </w:rPr>
      </w:pPr>
    </w:p>
    <w:p>
      <w:pPr>
        <w:ind w:left="1380" w:right="31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current research programs and our preclinical development of product candidates from our current research programs;</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identify, assess, acquire and/or develop additional research programs and additional product candidates;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testing and clinical trials for any product candidates we identify and develop;</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MHRA, EMA and other regulatory authorities;</w:t>
      </w:r>
    </w:p>
    <w:p>
      <w:pPr>
        <w:spacing w:after="0" w:line="161" w:lineRule="exact"/>
        <w:rPr>
          <w:rFonts w:ascii="Times New Roman" w:cs="Times New Roman" w:eastAsia="Times New Roman" w:hAnsi="Times New Roman"/>
          <w:sz w:val="18"/>
          <w:szCs w:val="18"/>
          <w:color w:val="auto"/>
        </w:rPr>
      </w:pPr>
    </w:p>
    <w:p>
      <w:pPr>
        <w:ind w:left="1380" w:right="37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and protecting our intellectual property portfolio, including filing, prosecuting, defending and enforcing our patent claims and other intellectual property rights;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53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product candidates;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further developing and scaling our manufacturing facilities and processes;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facilities and activities;</w:t>
      </w:r>
    </w:p>
    <w:p>
      <w:pPr>
        <w:spacing w:after="0" w:line="225" w:lineRule="exact"/>
        <w:rPr>
          <w:rFonts w:ascii="Times New Roman" w:cs="Times New Roman" w:eastAsia="Times New Roman" w:hAnsi="Times New Roman"/>
          <w:sz w:val="18"/>
          <w:szCs w:val="18"/>
          <w:color w:val="auto"/>
        </w:rPr>
      </w:pPr>
    </w:p>
    <w:p>
      <w:pPr>
        <w:ind w:left="1380" w:right="79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making royalty, milestone or other payments under current and any future in-license agreements;</w:t>
      </w:r>
    </w:p>
    <w:p>
      <w:pPr>
        <w:spacing w:after="0" w:line="161"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agreements and the financial terms of such agreements;</w:t>
      </w:r>
    </w:p>
    <w:p>
      <w:pPr>
        <w:spacing w:after="0" w:line="161" w:lineRule="exact"/>
        <w:rPr>
          <w:rFonts w:ascii="Times New Roman" w:cs="Times New Roman" w:eastAsia="Times New Roman" w:hAnsi="Times New Roman"/>
          <w:sz w:val="18"/>
          <w:szCs w:val="18"/>
          <w:color w:val="auto"/>
        </w:rPr>
      </w:pPr>
    </w:p>
    <w:p>
      <w:pPr>
        <w:ind w:left="1380" w:right="103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rights to other products, product candidates and technologies;</w:t>
      </w:r>
    </w:p>
    <w:p>
      <w:pPr>
        <w:spacing w:after="0" w:line="161" w:lineRule="exact"/>
        <w:rPr>
          <w:rFonts w:ascii="Times New Roman" w:cs="Times New Roman" w:eastAsia="Times New Roman" w:hAnsi="Times New Roman"/>
          <w:sz w:val="18"/>
          <w:szCs w:val="18"/>
          <w:color w:val="auto"/>
        </w:rPr>
      </w:pPr>
    </w:p>
    <w:p>
      <w:pPr>
        <w:ind w:left="1380" w:right="61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in regions where we choose to commercialize our products; and</w:t>
      </w:r>
    </w:p>
    <w:p>
      <w:pPr>
        <w:spacing w:after="0" w:line="161" w:lineRule="exact"/>
        <w:rPr>
          <w:rFonts w:ascii="Times New Roman" w:cs="Times New Roman" w:eastAsia="Times New Roman" w:hAnsi="Times New Roman"/>
          <w:sz w:val="18"/>
          <w:szCs w:val="18"/>
          <w:color w:val="auto"/>
        </w:rPr>
      </w:pPr>
    </w:p>
    <w:p>
      <w:pPr>
        <w:ind w:left="1380" w:right="719" w:hanging="331"/>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results of our commercialization of our product candidates, if approved for commercial sale.</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Raising additional capital through the sale of equity or convertible debt securities will dilute your ownership interest, and the terms of these securities may include liquidation or other preferences that adversely affect your rights as a shareholder. For example, in connection with entering into the Financing Agreement (as defined below), we issued warrants to Perceptive, to purchase 400,000 ordinary shares at an exercise price of $15.00 per share and 300,000 ordinary shares at an exercise price of $20.00 per share, amended on March 25, 2026 to change the exercise price to $8.00 per share. Additional debt financing or preferred equity financing, if available, may involve agreements that include covenants further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both"/>
        <w:ind w:left="60" w:right="19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or cash on hand to satisfy our debt obligations or covenants under our financing arrangements, or we may not be able to effectively manage our business in compliance with such covenants.</w:t>
      </w:r>
    </w:p>
    <w:p>
      <w:pPr>
        <w:spacing w:after="0" w:line="13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August 2, 2022, we, as borrower, and our wholly-owned subsidiaries MeiraGTx UK II Limited and MeiraGTx Ireland DAC, as guarantors (the “Subsidiary Guarantors”), entered into a senior secured financing arrangement (the “Financing Agreement”) by and among us, the Subsidiary Guarantors, the lenders and other parties from time to time party thereto and Perceptive, as administrative agent and lender. On December 19, 2022, the Financing Agreement was converted to a notes purchase agreement and guaranty (as converted, the “Notes Purchase Agreement”) between the same parties and under substantially the same terms and conditions as the Financing Agreement, subject to certain customary note constitution terms. The Notes Purchase Agreement provides for an initial $75.0 million notes issuance (the “Tranche 1 Notes”). Outstanding amounts under the Notes Purchase Agreement incur interest, subject to certain provisions therein, at a fluctuating rate per annum equal to 10.00% plus the secured overnight financing rate administered by the Federal Reserve Bank of New York for a one-month tenor, subject to a 1.00% floor. Pursuant to an amendment to the Notes Purchase Agreement entered into on March 25, 2026, the maturity date of the Notes Purchase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Agreement has been extended from August 2, 2026 to May 2, 2027 and we have agreed to redeem a portion of the outstanding principal amount of the Tranche 1 Notes equal to $25.0 million on or before June 30, 2026. Pursuant to another amendment to the Notes Purchase Agreement entered into on May 12, 2026, the maturity date of the Notes Purchase Agreement was further extended to July 1, 2027. The Notes Purchase Agreement also contains various restrictions and covenants, including, among other things, covenants regarding the incurrence of additional indebtedness, limitations on liens, limitations on certain investments, limitations on making distributions, dividends and other payments, mergers, consolidations and acquisitions, dispositions of assets, maintenance of at least $3.0 million in a U.S. bank account, transactions with affiliates, changes to governing documents, changes to certain agreements and leases and changes in control. Our obligations under the Notes Purchase Agreement are secured by our London, UK and Shannon, Ireland manufacturing facilities, $3.0 million of our cash and the bank accounts of the Subsidiary Guarantors, and the issued and outstanding equity interests of the Subsidiary Guarantors.</w:t>
      </w:r>
    </w:p>
    <w:p>
      <w:pPr>
        <w:spacing w:after="0" w:line="19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cash and cash equivalents available under the Notes Purchase Agreement and under any future financings, together with any funds generated by our operations, will be sufficient to satisfy our debt payment obligations. Our inability to generate funds, obtain financing sufficient to satisfy our debt payment obligations or remain in compliance with the debt covenants may result in such obligations being accelerated by our lenders, which would likely have a material adverse effect on our business, financial condition and results of operations.</w:t>
      </w:r>
    </w:p>
    <w:p>
      <w:pPr>
        <w:spacing w:after="0" w:line="183"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The covenants may restrict our current and future operations, particularly our ability to respond to certain changes in our business or industry, or take future actions. Additionally, our ability to comply with these restrictive covenants may be impacted by events beyond our control, such as economic conditions or major central bank policy actions. Our Notes Purchase Agreement provides that our breach or failure to satisfy certain covenants constitutes an event of default. Upon the occurrence of an event of default, in addition to an increase in the rate of interest on the Notes of 3% per annum, Perceptive could elect to declare all amounts outstanding thereunder to be immediately due and payable, proceed against the assets we provided as collateral, and, if such debt were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ordinary shares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review of potential strategic transactions may not result in an executed or consummated transaction or other strategic alternative and may not result in anticipated benefits to us or our shareholders, and the process of reviewing strategic transactions or its conclusion could be disruptive and distracting to our business operations and management.</w:t>
      </w:r>
    </w:p>
    <w:p>
      <w:pPr>
        <w:spacing w:after="0" w:line="15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and may continue to, opportunistically identify and evaluate strategic opportunities regarding our assets. Any significant delay in consummating or a failure to consummate or complete a transaction could have a material adverse effect on our future business or operating results. There can be no assurance that we will be successful in our efforts to pursue or advance such options, or identify similar opportunities, or that any potential transaction would be consummated or, if consummated, will provide the anticipated benefits to us or otherwise enhance shareholder value. Any such potential transaction would be dependent upon a number of factors beyond our control, including, without limitation, market conditions, industry trends, the interest of third parties in our assets and whether the terms of any strategic transaction would be acceptable to us. The process of reviewing potential strategic alternatives is time consuming and may be distracting and disruptive to our business operations and long-term planning, which may cause concern to our current or potential customers, employees, investors, strategic partners and other constituencies and may have a material impact on our business and operating results or result in increased volatility in our share price.</w:t>
      </w:r>
    </w:p>
    <w:p>
      <w:pPr>
        <w:spacing w:after="0" w:line="18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which are still in development, and if none of them receive regulatory approval or are successfully commercialized, our business may be harmed.</w:t>
      </w:r>
    </w:p>
    <w:p>
      <w:pPr>
        <w:spacing w:after="0" w:line="15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and ability to generate product revenue is substantially dependent on our ability to successfully develop, manufacture, obtain regulatory approval for and successfully commercialize our product candidates. We currently have no products that are approved for commercial sale and may never be able to develop marketable products. We have invested and expect to continue to invest a meaningful portion of our efforts and expenditures over the next few years in the development of AAV-hAQP1, AAV-GAD, AAV-AIPL1, bota-vec and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riboswitch gene regulation technology platform, as well as potentially other clinical and pre-clinical programs, which will require additional clinical development, management of clinical and manufacturing activities, regulatory approval in multiple jurisdictions, manufacturing sufficient supply, building of a commercial organization, substantial investment and significant marketing efforts before we can generate any revenues from any commercial sales. While we have entered into the Lilly Collaboration Agreement with respect to AAV-AIPL1 and two other preclinical product candidates which are intended to treat other inherited retinal dystrophies, there can be no assurance that these product candidates will be successfully developed and commercialized by us or Lilly. We cannot be certain that our product candidates will be successful in clinical trials, receive regulatory approval or be successfully commercialized even if we receive regulatory approval. Even if we receive approval to market our product candidates from the FDA, MHRA or other regulatory bodies, we cannot be certain that our product candidates will be successfully commercialized by us or any of our collaborators, widely accepted in the marketplace or more effective than other commercially available alternatives. Additionally, the research, testing, manufacturing, labeling, approval, sale, marketing and distribution of gene therapy products are and will remain subject to extensive and evolving regulation by the FDA, MHRA and other regulatory authorities. We are not permitted to market our product candidates in the United States until they receive approval of a biologics license application, or BLA, from the FDA, we cannot market them in the UK or European Union, or EU, until we receive approval for a marketing authorization, or MA, from the MHRA or European Commission, respectively, and we cannot market them in other countries until we receive any other required regulatory approval in those countries.</w:t>
      </w:r>
    </w:p>
    <w:p>
      <w:pPr>
        <w:spacing w:after="0" w:line="19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Because some of our product candidates are based on similar technology, if any of our product candidates show unexpected adverse events or a lack of efficacy in the indications we intend to treat, or if we experience other regulatory or developmental issues, our development plans and business could be significantly harmed. Further, competitors may be developing products with similar technology and may experience problems with their products that could identify problems that would potentially harm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additional product candidates.</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Part of our strategy involves identifying novel product candidates. The process by which we identify product candidates may fail to yield product candidates for clinical development for a number of reasons, including those discussed in these risk factors and also:</w:t>
      </w:r>
    </w:p>
    <w:p>
      <w:pPr>
        <w:spacing w:after="0" w:line="176" w:lineRule="exact"/>
        <w:rPr>
          <w:sz w:val="20"/>
          <w:szCs w:val="20"/>
          <w:color w:val="auto"/>
        </w:rPr>
      </w:pPr>
    </w:p>
    <w:p>
      <w:pPr>
        <w:ind w:left="1380" w:hanging="331"/>
        <w:spacing w:after="0"/>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assemble sufficient resources to acquire or discover additional product candidates;</w:t>
      </w:r>
    </w:p>
    <w:p>
      <w:pPr>
        <w:spacing w:after="0" w:line="236" w:lineRule="exact"/>
        <w:rPr>
          <w:rFonts w:ascii="Times New Roman" w:cs="Times New Roman" w:eastAsia="Times New Roman" w:hAnsi="Times New Roman"/>
          <w:sz w:val="17"/>
          <w:szCs w:val="17"/>
          <w:color w:val="auto"/>
        </w:rPr>
      </w:pPr>
    </w:p>
    <w:p>
      <w:pPr>
        <w:ind w:left="1380" w:right="61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 or less attractive;</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we develop may nevertheless be covered by third parties’ patents or other exclusive rights;</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5"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potential product candidate may change so that the continued development of that product candidate is no longer reasonable;</w:t>
      </w:r>
    </w:p>
    <w:p>
      <w:pPr>
        <w:spacing w:after="0" w:line="161"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in commercial quantities at an acceptable cost, or at all; or</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candidate may be too complex and difficult to navigate successfully or economically.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a potential product candidate that ultimately proves to be unsuccessful.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If we are unable to identify additional suitable product candidates for clinical development, this would adversely impact our business strategy and our financial position and share price and could potentially cause us to cease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Clinical Testing, Manufacturing and Regulatory Approval</w:t>
      </w:r>
    </w:p>
    <w:p>
      <w:pPr>
        <w:spacing w:after="0" w:line="22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to predict the time and cost of product candidate development on our novel gene therapy platform. A limited number of gene therapies have been approved in the United States or in Europe.</w:t>
      </w:r>
    </w:p>
    <w:p>
      <w:pPr>
        <w:spacing w:after="0" w:line="159" w:lineRule="exact"/>
        <w:rPr>
          <w:sz w:val="20"/>
          <w:szCs w:val="20"/>
          <w:color w:val="auto"/>
        </w:rPr>
      </w:pPr>
    </w:p>
    <w:p>
      <w:pPr>
        <w:ind w:left="60" w:right="179" w:firstLine="583"/>
        <w:spacing w:after="0" w:line="261" w:lineRule="auto"/>
        <w:rPr>
          <w:sz w:val="20"/>
          <w:szCs w:val="20"/>
          <w:color w:val="auto"/>
        </w:rPr>
      </w:pPr>
      <w:r>
        <w:rPr>
          <w:rFonts w:ascii="Times New Roman" w:cs="Times New Roman" w:eastAsia="Times New Roman" w:hAnsi="Times New Roman"/>
          <w:sz w:val="18"/>
          <w:szCs w:val="18"/>
          <w:color w:val="auto"/>
        </w:rPr>
        <w:t>We have concentrated a portion of our research and development efforts on our gene therapy platform, which uses both transduction and gene control technology. Our future success depends on the successful development of these novel therapeutic approaches. To date, a limited number of products that utilize gene transfer have been approved in the United States or Europe.</w:t>
      </w:r>
    </w:p>
    <w:p>
      <w:pPr>
        <w:spacing w:after="0" w:line="18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gene therapy platform is based on a suite of viral vectors which we can deploy with gene therapy constructs, which relies on the ability of AAV to efficiently transmit a therapeutic gene to certain kinds of cells. The mechanism of action by which these vectors target particular tissues is still not completely understood. Therefore, it is difficult for us to determine that our vectors will be able to properly deliver gene transfer constructs to enough tissue cells to reach therapeutic levels. We cannot be certain that animal models will exist for some of the diseases we expect to pursue, that our viral vectors will be able to meet safety and efficacy levels needed to be therapeutic in humans or that they will not cause significant adverse events or toxicities. Furthermore, prior work conducted by a third party in non-human primates suggests that intravenous, or IV, delivery of certain AAV vectors at very high doses may result in severe toxicity. The indications that we target do not use IV administration for viral vector delivery and do not use doses as high as those tested in these publications, and to date we have not observed the severe toxicities described in these publications with the naturally occurring AAV vectors that we use. However, we cannot be certain that we will be able to avoid triggering toxicities in our future preclinical studies or clinical trials. Any such results could impact our ability to develop a product candidate. As a result of these factors, it is more difficult for us to predict the time and cost of product candidate development, and we cannot predict whether the application of our gene therapy platform, or any similar or competitive gene therapy platforms, will result in the identification, development, and regulatory approval of any product candidates, or that other gene therapy technologies will not be considered better or more attractive. There can be no assurance that any development problems we experience in the future related to our gene therapy platform or any of our research programs will not cause significant delays or unanticipated costs, or that such development problems can be solved. Any of these factors may prevent us from completing our preclinical studies or clinical trials or commercializing any product candidates we may develop on a timely or profitable basis, if at all.</w:t>
      </w:r>
    </w:p>
    <w:p>
      <w:pPr>
        <w:spacing w:after="0" w:line="189" w:lineRule="exact"/>
        <w:rPr>
          <w:sz w:val="20"/>
          <w:szCs w:val="20"/>
          <w:color w:val="auto"/>
        </w:rPr>
      </w:pPr>
    </w:p>
    <w:p>
      <w:pPr>
        <w:ind w:left="60" w:right="519" w:firstLine="583"/>
        <w:spacing w:after="0" w:line="282" w:lineRule="auto"/>
        <w:rPr>
          <w:sz w:val="20"/>
          <w:szCs w:val="20"/>
          <w:color w:val="auto"/>
        </w:rPr>
      </w:pPr>
      <w:r>
        <w:rPr>
          <w:rFonts w:ascii="Times New Roman" w:cs="Times New Roman" w:eastAsia="Times New Roman" w:hAnsi="Times New Roman"/>
          <w:sz w:val="18"/>
          <w:szCs w:val="18"/>
          <w:color w:val="auto"/>
        </w:rPr>
        <w:t>In addition, because our gene regulation technology is still in the research stage, we have not yet been able to assess safety in humans, and there may be long-term effects from treatment that we cannot predict at this time.</w:t>
      </w:r>
    </w:p>
    <w:p>
      <w:pPr>
        <w:spacing w:after="0" w:line="15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is novel and the regulatory landscape that governs any product candidates we may develop is uncertain and may change, we cannot predict the time and cost of obtaining regulatory approval, if we receive it at all, for any product candidates we may develop.</w:t>
      </w:r>
    </w:p>
    <w:p>
      <w:pPr>
        <w:spacing w:after="0" w:line="175" w:lineRule="exact"/>
        <w:rPr>
          <w:sz w:val="20"/>
          <w:szCs w:val="20"/>
          <w:color w:val="auto"/>
        </w:rPr>
      </w:pPr>
    </w:p>
    <w:p>
      <w:pPr>
        <w:ind w:left="60" w:right="219" w:firstLine="583"/>
        <w:spacing w:after="0" w:line="255" w:lineRule="auto"/>
        <w:rPr>
          <w:sz w:val="20"/>
          <w:szCs w:val="20"/>
          <w:color w:val="auto"/>
        </w:rPr>
      </w:pPr>
      <w:r>
        <w:rPr>
          <w:rFonts w:ascii="Times New Roman" w:cs="Times New Roman" w:eastAsia="Times New Roman" w:hAnsi="Times New Roman"/>
          <w:sz w:val="18"/>
          <w:szCs w:val="18"/>
          <w:color w:val="auto"/>
        </w:rPr>
        <w:t>The regulatory requirements that will govern any novel gene therapy product candidates we develop are not entirely clear and may change. Within the broader genetic medicine field, a limited number of therapeutic products have received approval from the FDA or an MA from the MHRA and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which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4" w:lineRule="auto"/>
        <w:rPr>
          <w:sz w:val="20"/>
          <w:szCs w:val="20"/>
          <w:color w:val="auto"/>
        </w:rPr>
      </w:pPr>
      <w:r>
        <w:rPr>
          <w:rFonts w:ascii="Times New Roman" w:cs="Times New Roman" w:eastAsia="Times New Roman" w:hAnsi="Times New Roman"/>
          <w:sz w:val="17"/>
          <w:szCs w:val="17"/>
          <w:color w:val="auto"/>
        </w:rPr>
        <w:t>impact the timing and cost of any regulatory approval. For example, in the United States, the FDA has established the Office of Therapeutic Products within its Center for Biologics Evaluation and Research, or CBER, to consolidate the review of gene therapy and related products, and the Cellular, Tissue and Gene Therapies Advisory Committee to advise CBER on its review. Gene therapy clinical trials may also be subject to review and oversight by an institutional biosafety committee and/or an institutional review board, or IRB, which are local institutional committees or boards, as applicable, that review, approve and oversee basic and clinical research conducted at the institution participating in the clinical trial.</w:t>
      </w:r>
    </w:p>
    <w:p>
      <w:pPr>
        <w:spacing w:after="0" w:line="173" w:lineRule="exact"/>
        <w:rPr>
          <w:sz w:val="20"/>
          <w:szCs w:val="20"/>
          <w:color w:val="auto"/>
        </w:rPr>
      </w:pPr>
    </w:p>
    <w:p>
      <w:pPr>
        <w:ind w:left="60" w:right="59" w:firstLine="583"/>
        <w:spacing w:after="0" w:line="254" w:lineRule="auto"/>
        <w:rPr>
          <w:sz w:val="20"/>
          <w:szCs w:val="20"/>
          <w:color w:val="auto"/>
        </w:rPr>
      </w:pPr>
      <w:r>
        <w:rPr>
          <w:rFonts w:ascii="Times New Roman" w:cs="Times New Roman" w:eastAsia="Times New Roman" w:hAnsi="Times New Roman"/>
          <w:sz w:val="18"/>
          <w:szCs w:val="18"/>
          <w:color w:val="auto"/>
        </w:rPr>
        <w:t>In the EU, the EMA’s Committee for Advanced Therapies, or CAT, is responsible for assessing the quality, safety, and efficacy of advanced therapy medicinal products, or ATMPs. ATMPs include gene therapy medicines, somatic-cell therapy medicines and tissue-engineered medicines. The role of the CAT is to prepare a draft opinion on an application for MA for a gene therapy medicinal candidate that is submitted to the EMA. In the EU, the development and evaluation of a gene therapy product must be considered in the context of the relevant EU guidelines. The EMA may issue new guidelines concerning the development and MA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Post Brexit, marketing authorization applications, or MAAs, for ATMPs in the UK are regulated nationally and assessed in accordance with the general provisions in place for the licensing of medicines, taking the specific requirements for this group of medicines into account. Definitions for individual classes of ATMPs remain unchanged and classification of ATMPs are undertaken by the MHRA. Data, traceability, exemptions from licensing, packaging and post-authorization requirements remain in line with EU requirements transposed into UK law. However, if the EMA issues new guidance on ATMPs going forward, there is a risk of regulatory divergence with the MHRA and separate procedures and standards with which we may need to comply.</w:t>
      </w:r>
    </w:p>
    <w:p>
      <w:pPr>
        <w:spacing w:after="0" w:line="189" w:lineRule="exact"/>
        <w:rPr>
          <w:sz w:val="20"/>
          <w:szCs w:val="20"/>
          <w:color w:val="auto"/>
        </w:rPr>
      </w:pPr>
    </w:p>
    <w:p>
      <w:pPr>
        <w:ind w:left="60" w:right="59" w:firstLine="583"/>
        <w:spacing w:after="0" w:line="252" w:lineRule="auto"/>
        <w:rPr>
          <w:sz w:val="20"/>
          <w:szCs w:val="20"/>
          <w:color w:val="auto"/>
        </w:rPr>
      </w:pPr>
      <w:r>
        <w:rPr>
          <w:rFonts w:ascii="Times New Roman" w:cs="Times New Roman" w:eastAsia="Times New Roman" w:hAnsi="Times New Roman"/>
          <w:sz w:val="18"/>
          <w:szCs w:val="18"/>
          <w:color w:val="auto"/>
        </w:rPr>
        <w:t>Adverse developments in preclinical studies or clinical trials conducted by others in the field of gene therapy and gene regulation products may cause the FDA, MHRA and other regulatory bodies to revise the requirements for approval of any product candidates we may develop or limit the use of products utilizing gene regulation technologies, either of which could harm our business. In addition, the clinical trial requirements of the FDA, MHRA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treatments for diseases or conditions in which there may be limited clinical experience with novel endpoints and methodologies, there is heightened risk that the FDA, MHRA, EMA or other regulatory bodies may not consider the clinical trial endpoints we pursue to provide clinically meaningful results, and the resulting clinical data and results may be more difficult to analyze. The prospectively designed natural history studies with the same endpoints as our corresponding clinical trials may not be accepted by the FDA, MHRA,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93" w:lineRule="exact"/>
        <w:rPr>
          <w:sz w:val="20"/>
          <w:szCs w:val="20"/>
          <w:color w:val="auto"/>
        </w:rPr>
      </w:pPr>
    </w:p>
    <w:p>
      <w:pPr>
        <w:ind w:left="60" w:right="139" w:firstLine="583"/>
        <w:spacing w:after="0" w:line="255" w:lineRule="auto"/>
        <w:rPr>
          <w:sz w:val="20"/>
          <w:szCs w:val="20"/>
          <w:color w:val="auto"/>
        </w:rPr>
      </w:pPr>
      <w:r>
        <w:rPr>
          <w:rFonts w:ascii="Times New Roman" w:cs="Times New Roman" w:eastAsia="Times New Roman" w:hAnsi="Times New Roman"/>
          <w:sz w:val="18"/>
          <w:szCs w:val="18"/>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and implement, and involve an uncertain outcome.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Further, we may encounter substantial delays in our clinical trials.</w:t>
      </w:r>
    </w:p>
    <w:p>
      <w:pPr>
        <w:spacing w:after="0" w:line="207" w:lineRule="exact"/>
        <w:rPr>
          <w:sz w:val="20"/>
          <w:szCs w:val="20"/>
          <w:color w:val="auto"/>
        </w:rPr>
      </w:pPr>
    </w:p>
    <w:p>
      <w:pPr>
        <w:ind w:left="60" w:right="99" w:firstLine="583"/>
        <w:spacing w:after="0" w:line="272" w:lineRule="auto"/>
        <w:rPr>
          <w:sz w:val="20"/>
          <w:szCs w:val="20"/>
          <w:color w:val="auto"/>
        </w:rPr>
      </w:pPr>
      <w:r>
        <w:rPr>
          <w:rFonts w:ascii="Times New Roman" w:cs="Times New Roman" w:eastAsia="Times New Roman" w:hAnsi="Times New Roman"/>
          <w:sz w:val="17"/>
          <w:szCs w:val="17"/>
          <w:color w:val="auto"/>
        </w:rPr>
        <w:t>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2" w:lineRule="exact"/>
        <w:rPr>
          <w:sz w:val="20"/>
          <w:szCs w:val="20"/>
          <w:color w:val="auto"/>
        </w:rPr>
      </w:pPr>
    </w:p>
    <w:p>
      <w:pPr>
        <w:ind w:left="60" w:right="99" w:firstLine="583"/>
        <w:spacing w:after="0" w:line="258" w:lineRule="auto"/>
        <w:rPr>
          <w:sz w:val="20"/>
          <w:szCs w:val="20"/>
          <w:color w:val="auto"/>
        </w:rPr>
      </w:pPr>
      <w:r>
        <w:rPr>
          <w:rFonts w:ascii="Times New Roman" w:cs="Times New Roman" w:eastAsia="Times New Roman" w:hAnsi="Times New Roman"/>
          <w:sz w:val="18"/>
          <w:szCs w:val="18"/>
          <w:color w:val="auto"/>
        </w:rPr>
        <w:t>Clinical testing is expensive,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Our future clinical trial results may not be successful.</w:t>
      </w:r>
    </w:p>
    <w:p>
      <w:pPr>
        <w:spacing w:after="0" w:line="183" w:lineRule="exact"/>
        <w:rPr>
          <w:sz w:val="20"/>
          <w:szCs w:val="20"/>
          <w:color w:val="auto"/>
        </w:rPr>
      </w:pPr>
    </w:p>
    <w:p>
      <w:pPr>
        <w:ind w:left="60" w:right="119" w:firstLine="583"/>
        <w:spacing w:after="0" w:line="258"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MHRA, EMA or other regulatory authorities will interpret the results as we do, and more trials could be required before we submit our product candidates for approval. To the extent that the results of the trials are not satisfactory to the FDA, MHRA, EMA or other regulatory authorities for support of an MAA, we may be required to expend significant resources, which may not be available to us, to conduct additional trials in support of potential approval of our product candidates.</w:t>
      </w:r>
    </w:p>
    <w:p>
      <w:pPr>
        <w:spacing w:after="0" w:line="183" w:lineRule="exact"/>
        <w:rPr>
          <w:sz w:val="20"/>
          <w:szCs w:val="20"/>
          <w:color w:val="auto"/>
        </w:rPr>
      </w:pPr>
    </w:p>
    <w:p>
      <w:pPr>
        <w:ind w:left="60" w:right="99" w:firstLine="583"/>
        <w:spacing w:after="0" w:line="258" w:lineRule="auto"/>
        <w:rPr>
          <w:sz w:val="20"/>
          <w:szCs w:val="20"/>
          <w:color w:val="auto"/>
        </w:rPr>
      </w:pPr>
      <w:r>
        <w:rPr>
          <w:rFonts w:ascii="Times New Roman" w:cs="Times New Roman" w:eastAsia="Times New Roman" w:hAnsi="Times New Roman"/>
          <w:sz w:val="18"/>
          <w:szCs w:val="18"/>
          <w:color w:val="auto"/>
        </w:rPr>
        <w:t>To date, we have not completed any clinical development programs required for the approval of any of our product candidates. Although we are currently conducting several clinical development programs, we may experience delays in conducting any clinical trials and we do not know whether our ongoing and future clinical trials will begin on time, need to be redesigned, be able to recruit and enroll patients on time or be completed on schedule, or at all. Events that may prevent successful or timely completion of clinical development include:</w:t>
      </w:r>
    </w:p>
    <w:p>
      <w:pPr>
        <w:spacing w:after="0" w:line="181" w:lineRule="exact"/>
        <w:rPr>
          <w:sz w:val="20"/>
          <w:szCs w:val="20"/>
          <w:color w:val="auto"/>
        </w:rPr>
      </w:pPr>
    </w:p>
    <w:p>
      <w:pPr>
        <w:ind w:left="1380" w:right="519" w:hanging="331"/>
        <w:spacing w:after="0" w:line="284"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60" w:lineRule="exact"/>
        <w:rPr>
          <w:rFonts w:ascii="Times New Roman" w:cs="Times New Roman" w:eastAsia="Times New Roman" w:hAnsi="Times New Roman"/>
          <w:sz w:val="18"/>
          <w:szCs w:val="18"/>
          <w:color w:val="auto"/>
        </w:rPr>
      </w:pPr>
    </w:p>
    <w:p>
      <w:pPr>
        <w:ind w:left="1380" w:right="499" w:hanging="331"/>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61"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consensus with the FDA, MHRA or other regulatory authorities as to the design or implementation of our clinical trials and obtaining regulatory allowance or approval to commence a clinical trial;</w:t>
      </w:r>
    </w:p>
    <w:p>
      <w:pPr>
        <w:spacing w:after="0" w:line="175" w:lineRule="exact"/>
        <w:rPr>
          <w:rFonts w:ascii="Times New Roman" w:cs="Times New Roman" w:eastAsia="Times New Roman" w:hAnsi="Times New Roman"/>
          <w:sz w:val="18"/>
          <w:szCs w:val="18"/>
          <w:color w:val="auto"/>
        </w:rPr>
      </w:pPr>
    </w:p>
    <w:p>
      <w:pPr>
        <w:ind w:left="1380" w:right="379" w:hanging="331"/>
        <w:spacing w:after="0" w:line="26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an agreement on acceptable terms with clinical trial sites or prospective contract research organizations, or CROs, the terms of which can be subject to extensive negotiation and may vary significantly among different clinical trial sites;</w:t>
      </w:r>
    </w:p>
    <w:p>
      <w:pPr>
        <w:spacing w:after="0" w:line="175"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train clinical trial investigators with the appropriate competencies and experience to conduct the clinical trials, administer our product candidates and oversee clinical trial staff;</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IRB or ethics committee approval or positive opinion at each site;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suitable patients to participate in a clinical trial;</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validate any companion diagnostic we may decide to use in connection with a clinical trial, if applicable;</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designing and manufacturing equipment or medical devices used to administer our product candidates in our clinical trials, if applicable;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not completing a clinical trial or returning for post-treatment follow-up;</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conduct clinical trials in accordance with good clinical practice, or GCP, requirements, or other applicable regulatory guidelines;</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insufficient number of clinical trial sites; or</w:t>
      </w:r>
    </w:p>
    <w:p>
      <w:pPr>
        <w:spacing w:after="0" w:line="22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our product candidates for use in clinical trials, or to manufacture such product candidates to acceptable quality standards.</w:t>
      </w:r>
    </w:p>
    <w:p>
      <w:pPr>
        <w:spacing w:after="0" w:line="16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176" w:lineRule="exact"/>
        <w:rPr>
          <w:sz w:val="20"/>
          <w:szCs w:val="20"/>
          <w:color w:val="auto"/>
        </w:rPr>
      </w:pPr>
    </w:p>
    <w:p>
      <w:pPr>
        <w:ind w:left="1380" w:right="119" w:hanging="331"/>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requires us to modify the design of our clinical trials;</w:t>
      </w:r>
    </w:p>
    <w:p>
      <w:pPr>
        <w:spacing w:after="0" w:line="161" w:lineRule="exact"/>
        <w:rPr>
          <w:rFonts w:ascii="Times New Roman" w:cs="Times New Roman" w:eastAsia="Times New Roman" w:hAnsi="Times New Roman"/>
          <w:sz w:val="18"/>
          <w:szCs w:val="18"/>
          <w:color w:val="auto"/>
        </w:rPr>
      </w:pPr>
    </w:p>
    <w:p>
      <w:pPr>
        <w:ind w:left="1380" w:right="579" w:hanging="331"/>
        <w:spacing w:after="0" w:line="26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175" w:lineRule="exact"/>
        <w:rPr>
          <w:rFonts w:ascii="Times New Roman" w:cs="Times New Roman" w:eastAsia="Times New Roman" w:hAnsi="Times New Roman"/>
          <w:sz w:val="18"/>
          <w:szCs w:val="18"/>
          <w:color w:val="auto"/>
        </w:rPr>
      </w:pPr>
    </w:p>
    <w:p>
      <w:pPr>
        <w:ind w:left="1380" w:right="199" w:hanging="331"/>
        <w:spacing w:after="0" w:line="26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1380" w:right="399" w:hanging="331"/>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380" w:right="299" w:hanging="331"/>
        <w:spacing w:after="0" w:line="261"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79"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39" w:hanging="331"/>
        <w:spacing w:after="0" w:line="266"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a widespread health emergency, or natural disasters including earthquakes, typhoons, floods and fires, or from economic or political instability; and</w:t>
      </w:r>
    </w:p>
    <w:p>
      <w:pPr>
        <w:spacing w:after="0" w:line="175" w:lineRule="exact"/>
        <w:rPr>
          <w:rFonts w:ascii="Times New Roman" w:cs="Times New Roman" w:eastAsia="Times New Roman" w:hAnsi="Times New Roman"/>
          <w:sz w:val="18"/>
          <w:szCs w:val="18"/>
          <w:color w:val="auto"/>
        </w:rPr>
      </w:pPr>
    </w:p>
    <w:p>
      <w:pPr>
        <w:ind w:left="1380" w:right="539" w:hanging="331"/>
        <w:spacing w:after="0" w:line="312" w:lineRule="auto"/>
        <w:tabs>
          <w:tab w:leader="none" w:pos="1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collaborators that conduct clinical trials may face any of the above issues, and they may conduct clinical trials in ways they view as advantageous to them but that are suboptimal for us.</w:t>
      </w:r>
    </w:p>
    <w:p>
      <w:pPr>
        <w:spacing w:after="0" w:line="14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25"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61"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or DSMB, for such trial or by the FDA, MHRA or other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MHRA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product candidates will require extensive clinical testing before we are prepared to submit a BLA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MHRA, EMA or other regulatory authorities on our clinical development program, and the FDA, MHRA, EMA or such regulatory authorities may not provide such feedback on a timely basis, or such feedback may not be favorable, which could further delay our development programs.</w:t>
      </w:r>
    </w:p>
    <w:p>
      <w:pPr>
        <w:spacing w:after="0" w:line="18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 For example changes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leadership of the FDA and other federal agencies under the current presidential administration or reductions in funding, operations, staffing and policies of the FDA and other federal agencies could impact our clinical development plans and timelines.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has evolved over recent years. As of January 2025, clinical trials (and related applications) in the EU are now fully subject to the provisions of the EU Clinical Trials Regulation, or CTR, which allows sponsors to make a single submission to both the competent authority and an ethics committee in each member state, leading to a single decision per member state and provides for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Compliance with the CTR requirements by us and our third-party service providers, such as CROs, may impact our development plans.</w:t>
      </w:r>
    </w:p>
    <w:p>
      <w:pPr>
        <w:spacing w:after="0" w:line="19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Furthermore, on April 28, 2025, the UK adopted an amendment to the Medicines for Human Use (Clinical Trials) Regulations 2004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CTR. The amendment will become applicable on April 28, 2026, following a one-year transition period, and the MHRA has published guidance intended to provide support during the transition period and will publish further guidance once the amendment becomes applicable.</w:t>
      </w:r>
    </w:p>
    <w:p>
      <w:pPr>
        <w:spacing w:after="0" w:line="189"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also be impacted.</w:t>
      </w:r>
    </w:p>
    <w:p>
      <w:pPr>
        <w:spacing w:after="0" w:line="158" w:lineRule="exact"/>
        <w:rPr>
          <w:sz w:val="20"/>
          <w:szCs w:val="20"/>
          <w:color w:val="auto"/>
        </w:rPr>
      </w:pPr>
    </w:p>
    <w:p>
      <w:pPr>
        <w:jc w:val="both"/>
        <w:ind w:left="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outbreaks of an infectious disease have impacted and may in the future materially and adversely impact our business, including our preclinical studies, clinical trials, manufacturing capabilities and regulatory approvals.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and may in the future experience disruptions from pandemics, epidemics or outbreaks of an infectious disease that could severely impact our business, preclinical studies, clinical trials and laboratory and manufacturing activities, including, for example,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interruption of key clinical trial activities due to limitations on travel imposed or recommended by regulatory authorities or others, interruption or delays in the operations of the FDA, MHRA, EMA or other regulatory authorities, interruption of, or delays in, the manufacturing of our product candidates, interruptions in preclinical studies due to restricted or limited operations at our laboratory facilities, limitations on employee resources that would otherwise be focused on the conduct of our preclinical studies and clinical trials, and interruption or delays to our sourced discovery and clinical activities. For example, as a result of the COVID-19 pandemic, we restricted onsite activities and also experienced some delays in enrolling, treating and monitoring patients in our clinical trials, as well as limited disruptions to our supply chain.</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extent to which any future outbreaks or any variants of COVID-19 or another pandemic may impact our business, preclinical studies, clinical trials and laboratory and manufacturing activities will depend on future developments, which are highly uncertain and cannot be predicted with confidence, such as the duration of any pandemic, the timing, distribution and effectiveness of vaccines, vaccination rates, travel restrictions and physical distancing requirements in the countries where we do business, business closures or business disruptions, and the effectiveness of actions taken in the countries where we do business to contain and treat any such disease, respond to the reduction in global economic activity and resume normal economic and operating conditions. If we or any of the third parties with whom we engage experience prolonged shutdowns or other business disruptions, our ability to conduct our business in the manner and on the timelines presently planned could be materially and negatively impacted. Furthermore, the magnitude of the economic impact of any pandemic including sustained inflation, supply chain disruptions, and major central bank policy actions may result in significant disruption of global financial markets,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could materially affect our performance, financial condition, results of operations, and cash flows, as well as our ability to raise additional capital. Additionally, major central bank policy actions may have a negative impact on our payment obligations under the Notes Purchase Agreement.</w:t>
      </w:r>
    </w:p>
    <w:p>
      <w:pPr>
        <w:spacing w:after="0" w:line="1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or supporting the information, in our SEC filings and other materials should be viewed with caution. Further, the data and statistical information included, or supporting the information, in our SEC filings and other materials, including estimates derived from them, may differ from information and estimates made by our competitors or from current or future studies conducted by independent sources.</w:t>
      </w:r>
    </w:p>
    <w:p>
      <w:pPr>
        <w:spacing w:after="0" w:line="18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UK, the EU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83"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of gene therapy and increased regulatory scrutiny of gene therapy and genetic research may adversely impact public perception of our current and future product candidates.</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potential therapeutic products involve introducing genetic material into patients’ cells.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Additionally, adverse events in our clinical trials, even if not ultimately attributable to our product candidates, and the resulting publicity could result in increased governmental regulation, unfavorable public perception, potential regulatory delays in the testing or approval of our product candidates or the halting of clinical trials,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In addition, there is the potential risk of delayed adverse events following exposure to gene therapy products due to persistent biological activity of the genetic material or other components of products used to carry the genetic material. If any such adverse events occur, commercialization of our product candidates or further advancement of our clinical trials could be halted or delayed, which would have a negative impact on our business and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fail to maintain the benefits of certain regulatory designations that we have obtained for our product candidates, and may in the future seek and fail to obtain such designations for other of our current or potential future product candidates. Even if such designations are obtained, they may not lead to faster development or regulatory review or approval, and they do not increase the likelihood that our product candidates will receive marketing approval.</w:t>
      </w:r>
    </w:p>
    <w:p>
      <w:pPr>
        <w:spacing w:after="0" w:line="16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drugs and biological products that meet certain criteria. For example, the FDA has a Fast Track designation program that is intended to expedite or facilitate the process for reviewing product candidates that meet certain criteria. Specifically, investigational drugs and biological products are eligible for Fast Track designation if they are intended to treat a serious condition and nonclinical or clinical data demonstrate the potential to address unmet medical needs.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once a BLA is submitted, the application may be eligible for priority review. In addition, the Fast Track product may be eligible for rolling review, where the FDA may consider for review sections of the BLA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Even if Fast Track designation is granted, it may be rescinded if the product no longer meets the qualifying criteria. In April 2018, bota-vec was issued Fast Track Designation by the FDA for the treatment of X-linked retinitis pigmentosa owing to defects in RPGR. In August 2018, AAV-CNGB3 was issued Fast Track designation by the FDA for the treatment of achromatopsia caused by CNGB3 mutations. In January 2021, AAV-CNGA3 was issued Fast Track designation by the FDA for the treatment of achromatopsia caused by CNGA3 mutations.</w:t>
      </w:r>
    </w:p>
    <w:p>
      <w:pPr>
        <w:spacing w:after="0" w:line="193"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Similarly, the EMA has established the PRIME scheme to expedite the development and review of product candidates that show a potential to address to a significant extent an unmet medical need, based on early clinical data. In February 2018, AAV-CNGB3 for the treatment of achromatopsia associated with defects in CNGB3 was admitted to the PRIME scheme of the EMA. In February 2020, bota-vec for the treatment of X-linked retinitis pigmentosa owing to defects in RPGR was admitted to the PRIME scheme of the EMA.</w:t>
      </w:r>
    </w:p>
    <w:p>
      <w:pPr>
        <w:spacing w:after="0" w:line="183" w:lineRule="exact"/>
        <w:rPr>
          <w:sz w:val="20"/>
          <w:szCs w:val="20"/>
          <w:color w:val="auto"/>
        </w:rPr>
      </w:pPr>
    </w:p>
    <w:p>
      <w:pPr>
        <w:ind w:left="60" w:right="59" w:firstLine="648"/>
        <w:spacing w:after="0" w:line="246" w:lineRule="auto"/>
        <w:rPr>
          <w:sz w:val="20"/>
          <w:szCs w:val="20"/>
          <w:color w:val="auto"/>
        </w:rPr>
      </w:pPr>
      <w:r>
        <w:rPr>
          <w:rFonts w:ascii="Times New Roman" w:cs="Times New Roman" w:eastAsia="Times New Roman" w:hAnsi="Times New Roman"/>
          <w:sz w:val="18"/>
          <w:szCs w:val="18"/>
          <w:color w:val="auto"/>
        </w:rPr>
        <w:t>A sponsor may also seek a Regenerative Medicine Advanced Therapy, or RMAT, designation for its product candidates. In 2017, the FDA established the RMAT designation as part of its implementation of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Century Cures Act. A biological product is eligible for RMAT designation if it qualifies as an RMAT, which is defined as a cell therapy, therapeutic tissue engineering product, human cell and tissue product, or any combination product using such therapies or products, with limited exceptions, and is intended to treat, modify, reverse, or cure a serious or life-threatening disease or condition and for which preliminary clinical evidence indicates that the biological product has the potential to address unmet medical needs for such a disease or condition. In a February 2019 guidance, the FDA also stated that certain gene therapies that lead to a sustained effect on cells or tissues may meet the definition of a regenerative medicine therapy. RMAT designation provides potential benefits that include more frequent meetings with the FDA to discuss the development plan for the product candidate, and eligibility for rolling review and priority review, provided the applicable criteria are met.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 world evidence (such as electronic health records); through the collection of larger confirmatory data sets; or via post-approval monitoring of all patients treated with such therapy prior to approval of the therapy. In December 2024, the FDA granted RMAT designation to AAV-hAQP1 for the treatment of grade 2 or 3 radiation-induced xerostomia, and in March 2026, the FDA granted Breakthrough Therapy Designation for the same program.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In May 2025, the FDA granted RMAT designation to AAV-GAD for the treatment of Parkinson’s disease not adequately controlled with anti-Parkinsonian medications.</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Such regulatory designations are within the discretion of the FDA, MHRA, EMA and other regulatory authorities. Accordingly, even if we believe one of our product candidates meets the criteria for such regulatory programs and we seek such designations, the FDA, MHRA, EMA or other applicable regulatory authority may disagree and instead determine not to make such designation for such product candidate. We cannot be sure that our evaluation of our product candidates as qualifying for such regulatory designations will meet the regulatory authority’s expectations. In any event, the receipt of such regulatory designations for a product candidate may not result in a faster development process, review, or approval compared to product candidates considered for approval under conventional regulatory procedures and does not assure ultimate approval by the regulatory authorities. In addition, even if additional product candidates are granted such regulatory designations, the regulatory authority may later decide that such product candidates no longer meet the conditions for qualification or decide that the time period for review or approval will not be shortened, as applicable.</w:t>
      </w:r>
    </w:p>
    <w:p>
      <w:pPr>
        <w:spacing w:after="0" w:line="190" w:lineRule="exact"/>
        <w:rPr>
          <w:sz w:val="20"/>
          <w:szCs w:val="20"/>
          <w:color w:val="auto"/>
        </w:rPr>
      </w:pPr>
    </w:p>
    <w:p>
      <w:pPr>
        <w:ind w:left="60" w:right="2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received orphan drug designation and orphan designation from the FDA and European Commission, respectively, for AAV-CNGB3, AAV-CNGA3, AAV-RPE65, AAV-AIPL1, bota-vec, AAV-RDH12 and orphan drug designation from the FDA for AAV-hAQP1 and AAV-BBS10, and we may seek orphan drug designation or orphan designation for additional product candidates in the future, but any orphan drug designations or orphan designations we have received or may receive in the future may not confer marketing exclusivity or other expected benefits.</w:t>
      </w:r>
    </w:p>
    <w:p>
      <w:pPr>
        <w:spacing w:after="0" w:line="16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European Commission grants orphan designation on the basis of the EMA’s Committee for Orphan Medicinal Products opinion.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disease or condition for which it has orphan drug designation, the product is entitled to orphan drug exclusivity, which means the FDA may not approve any other application to market the same drug for the same approved use or condition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In the EU, orphan designation entitles a party to financial incentives such as reduction of fees or fee waivers, protocol assistance, and access to the centralized MA procedure. Moreover, upon grant of an MA and assuming the requirement for orphan designation are also met at the time the MA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or PIP. This period may be reduced to six years if, at the end of the fifth year, the orphan designation criteria are no longer met, including where it is shown that the product is sufficiently profitable not to justify maintenance of market exclusivity, or where the prevalence of the condition has increased above the orphan designation threshold. In the EU, an MA for an orphan designated product will not be granted if a similar product has been approved in the EU for the same therapeutic indication, unless the applicant can establish that (i) its product, although similar to the orphan medicinal product already authorized is safer, more effective or otherwise clinically superior; (ii) the MA holder for the orphan medicinal product grants its consent; or</w:t>
      </w:r>
    </w:p>
    <w:p>
      <w:pPr>
        <w:spacing w:after="0" w:line="8" w:lineRule="exact"/>
        <w:rPr>
          <w:sz w:val="20"/>
          <w:szCs w:val="20"/>
          <w:color w:val="auto"/>
        </w:rPr>
      </w:pPr>
    </w:p>
    <w:p>
      <w:pPr>
        <w:ind w:left="60" w:right="579" w:hanging="10"/>
        <w:spacing w:after="0" w:line="255"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 holder of the orphan medicinal product is unable to supply sufficient quantities of product. A similar medicine is a product containing a similar active substance or substances as those contained in an already authorized product. Similar active substance is defined as an identical active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substance, or an active substance with the same principal molecular structural features (but not necessarily all of the same molecular features) and which acts via the same mechanism.</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There is no pre-MA orphan designation in the UK. The MHRA reviews applications from companies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obtained orphan drug designation from the FDA and orphan designation from the European Commission for AAV-CNGB3 for the treatment of achromatopsia caused by mutations in the </w:t>
      </w:r>
      <w:r>
        <w:rPr>
          <w:rFonts w:ascii="Times New Roman" w:cs="Times New Roman" w:eastAsia="Times New Roman" w:hAnsi="Times New Roman"/>
          <w:sz w:val="18"/>
          <w:szCs w:val="18"/>
          <w:i w:val="1"/>
          <w:iCs w:val="1"/>
          <w:color w:val="auto"/>
        </w:rPr>
        <w:t>CNGB3</w:t>
      </w:r>
      <w:r>
        <w:rPr>
          <w:rFonts w:ascii="Times New Roman" w:cs="Times New Roman" w:eastAsia="Times New Roman" w:hAnsi="Times New Roman"/>
          <w:sz w:val="18"/>
          <w:szCs w:val="18"/>
          <w:color w:val="auto"/>
        </w:rPr>
        <w:t xml:space="preserve"> gene, for AAV-CNGA3 for the treatment of achromatopsia due to autosomal-recessive </w:t>
      </w:r>
      <w:r>
        <w:rPr>
          <w:rFonts w:ascii="Times New Roman" w:cs="Times New Roman" w:eastAsia="Times New Roman" w:hAnsi="Times New Roman"/>
          <w:sz w:val="18"/>
          <w:szCs w:val="18"/>
          <w:i w:val="1"/>
          <w:iCs w:val="1"/>
          <w:color w:val="auto"/>
        </w:rPr>
        <w:t>CNGA3</w:t>
      </w:r>
      <w:r>
        <w:rPr>
          <w:rFonts w:ascii="Times New Roman" w:cs="Times New Roman" w:eastAsia="Times New Roman" w:hAnsi="Times New Roman"/>
          <w:sz w:val="18"/>
          <w:szCs w:val="18"/>
          <w:color w:val="auto"/>
        </w:rPr>
        <w:t xml:space="preserve"> gene mutations, for AAV-RPE65 for the treatment of Leber congenital amaurosis, for bota-vec for the treatment of X-linked retinitis pigmentosa associated with mutations in the </w:t>
      </w:r>
      <w:r>
        <w:rPr>
          <w:rFonts w:ascii="Times New Roman" w:cs="Times New Roman" w:eastAsia="Times New Roman" w:hAnsi="Times New Roman"/>
          <w:sz w:val="18"/>
          <w:szCs w:val="18"/>
          <w:i w:val="1"/>
          <w:iCs w:val="1"/>
          <w:color w:val="auto"/>
        </w:rPr>
        <w:t xml:space="preserve">RPGR </w:t>
      </w:r>
      <w:r>
        <w:rPr>
          <w:rFonts w:ascii="Times New Roman" w:cs="Times New Roman" w:eastAsia="Times New Roman" w:hAnsi="Times New Roman"/>
          <w:sz w:val="18"/>
          <w:szCs w:val="18"/>
          <w:color w:val="auto"/>
        </w:rPr>
        <w:t>gene, for AAV-AIPL1 for the treatment of inherited retinal dystrophy due to defects in</w:t>
      </w:r>
      <w:r>
        <w:rPr>
          <w:rFonts w:ascii="Times New Roman" w:cs="Times New Roman" w:eastAsia="Times New Roman" w:hAnsi="Times New Roman"/>
          <w:sz w:val="18"/>
          <w:szCs w:val="18"/>
          <w:i w:val="1"/>
          <w:iCs w:val="1"/>
          <w:color w:val="auto"/>
        </w:rPr>
        <w:t xml:space="preserve"> AIPL1 </w:t>
      </w:r>
      <w:r>
        <w:rPr>
          <w:rFonts w:ascii="Times New Roman" w:cs="Times New Roman" w:eastAsia="Times New Roman" w:hAnsi="Times New Roman"/>
          <w:sz w:val="18"/>
          <w:szCs w:val="18"/>
          <w:color w:val="auto"/>
        </w:rPr>
        <w:t xml:space="preserve">gene and for AAV-RDH12 for the treatment of retinol dehydrogenase 12 (RDH12) mutation-associated retinal dystrophy, and we obtained orphan drug designation from the FDA for AAV-hAQP1 for the treatment of grade 2 and grade 3 late xerostomia from parotid gland hypofunction caused by radiotherapy and for AAV-BBS10 for the treatment of Bardet-Biedel syndrome (BBS) due to </w:t>
      </w:r>
      <w:r>
        <w:rPr>
          <w:rFonts w:ascii="Times New Roman" w:cs="Times New Roman" w:eastAsia="Times New Roman" w:hAnsi="Times New Roman"/>
          <w:sz w:val="18"/>
          <w:szCs w:val="18"/>
          <w:i w:val="1"/>
          <w:iCs w:val="1"/>
          <w:color w:val="auto"/>
        </w:rPr>
        <w:t>BBS10</w:t>
      </w:r>
      <w:r>
        <w:rPr>
          <w:rFonts w:ascii="Times New Roman" w:cs="Times New Roman" w:eastAsia="Times New Roman" w:hAnsi="Times New Roman"/>
          <w:sz w:val="18"/>
          <w:szCs w:val="18"/>
          <w:color w:val="auto"/>
        </w:rPr>
        <w:t xml:space="preserve"> mutations. We may seek orphan drug designation and orphan designation for other current and future product candidates. Even with orphan drug designation and orphan designation, we may not be the first to obtain marketing approval for any particular orphan indication due to the uncertainties associated with developing pharmaceutical products, which could prevent us from marketing our product candidates if another company is able to obtain orphan drug exclusivity before we do. In addition, exclusive marketing rights in the United States and the EU may be unavailable if we seek approval for a disease or condition broader than the orphan drug-designated and orphan-designated disease or condition or may be lost in the United States or EU if the FDA or foreign authorities later determine that the request for designation was materially defective or if we are unable to assure sufficient quantities of the drug to meet the needs of patients with the rare disease or condition following approval.</w:t>
      </w:r>
    </w:p>
    <w:p>
      <w:pPr>
        <w:spacing w:after="0" w:line="193"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Further, even if we obtain orphan drug exclusivity, that exclusivity may not effectively protect our product candidates from competition because different biologics with different active principal molecular structural features can be approved for the same disease or condition. In addition, the FDA can subsequently approve products with the same principal molecular structural features, in the case of a biologic, for the same use or indication if the FDA concludes that the later product is safer, more effective, makes a major contribution to patient care, or if the manufacturer of the product with orphan exclusivity is unable to maintain sufficient product quantity. Likewise, in the EU and UK, the European Commission or MHRA, respectively, can authorize a similar product for the same therapeutic indication, if it concludes that the later product is safer, more effective or clinically superior; if the MA holder for the initial orphan medicinal product grants its consent; or if such MA holder is unable to supply sufficient quantities of the product. Neither orphan drug designation nor orphan designation shortens the development time or regulatory review time of a drug nor gives the drug any advantage in the regulatory review or approval process. In addition, while we intend to seek orphan drug designation and orphan designation for other existing and future product candidates, we may never receive such designations.</w:t>
      </w:r>
    </w:p>
    <w:p>
      <w:pPr>
        <w:spacing w:after="0" w:line="224" w:lineRule="exact"/>
        <w:rPr>
          <w:sz w:val="20"/>
          <w:szCs w:val="20"/>
          <w:color w:val="auto"/>
        </w:rPr>
      </w:pPr>
    </w:p>
    <w:p>
      <w:pPr>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FDA has granted rare pediatric disease designation to a number of our gene therapy product candidates, however, there is no guarantee that FDA approval of any of these gene therapy candidates will result in a priority review voucher.</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drugs and biologics intended to treat certain orphan diseases affecting fewer than 200,000 patients in the U.S., the serious or life-threatening manifestations of which primarily affect individuals aged 18 years of age or younger, or affects more than 200,000 individuals in the U.S. and for which there is no reasonable expectation that the cost of developing and making available in the U.S. a drug for such disease or condition will be recovered from sales in the U.S. of such drug.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be eligible to receive a voucher that can be redeemed to receive a priority review of a subsequent marketing application for a different product. The sponsor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rare pediatric disease drug product receiving a priority review voucher may transfer (including by sale) the voucher to another sponsor, and such priority review vouchers have recently sold for between $150 million to $200 million.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20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FDA has granted us rare pediatric disease designation for AAV-AIPL1 for the treatment of Leber congenital amaurosis (LCA4) retinal dystrophy, AAV-BBS10 for the treatment of BBS due to </w:t>
      </w:r>
      <w:r>
        <w:rPr>
          <w:rFonts w:ascii="Times New Roman" w:cs="Times New Roman" w:eastAsia="Times New Roman" w:hAnsi="Times New Roman"/>
          <w:sz w:val="18"/>
          <w:szCs w:val="18"/>
          <w:i w:val="1"/>
          <w:iCs w:val="1"/>
          <w:color w:val="auto"/>
        </w:rPr>
        <w:t>BBS10</w:t>
      </w:r>
      <w:r>
        <w:rPr>
          <w:rFonts w:ascii="Times New Roman" w:cs="Times New Roman" w:eastAsia="Times New Roman" w:hAnsi="Times New Roman"/>
          <w:sz w:val="18"/>
          <w:szCs w:val="18"/>
          <w:color w:val="auto"/>
        </w:rPr>
        <w:t xml:space="preserve"> mutations, AAV-RDH12 for the treatment of Leber congenital amaurosis (LCA) and early-onset severe retinal dystrophy (EOSRD), AAV8-RK-RetGC for the treatment of patients with Leber congenital amaurosis due to </w:t>
      </w:r>
      <w:r>
        <w:rPr>
          <w:rFonts w:ascii="Times New Roman" w:cs="Times New Roman" w:eastAsia="Times New Roman" w:hAnsi="Times New Roman"/>
          <w:sz w:val="18"/>
          <w:szCs w:val="18"/>
          <w:i w:val="1"/>
          <w:iCs w:val="1"/>
          <w:color w:val="auto"/>
        </w:rPr>
        <w:t>GUCY2D</w:t>
      </w:r>
      <w:r>
        <w:rPr>
          <w:rFonts w:ascii="Times New Roman" w:cs="Times New Roman" w:eastAsia="Times New Roman" w:hAnsi="Times New Roman"/>
          <w:sz w:val="18"/>
          <w:szCs w:val="18"/>
          <w:color w:val="auto"/>
        </w:rPr>
        <w:t xml:space="preserve"> mutations (LCA1), AAV-RPE65 for the treatment of inherited retinal dystrophy due to biallelic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mutations, AAV-CNGB3 for the treatment of achromatopsia caused by mutations in the </w:t>
      </w:r>
      <w:r>
        <w:rPr>
          <w:rFonts w:ascii="Times New Roman" w:cs="Times New Roman" w:eastAsia="Times New Roman" w:hAnsi="Times New Roman"/>
          <w:sz w:val="18"/>
          <w:szCs w:val="18"/>
          <w:i w:val="1"/>
          <w:iCs w:val="1"/>
          <w:color w:val="auto"/>
        </w:rPr>
        <w:t>CNGB3</w:t>
      </w:r>
      <w:r>
        <w:rPr>
          <w:rFonts w:ascii="Times New Roman" w:cs="Times New Roman" w:eastAsia="Times New Roman" w:hAnsi="Times New Roman"/>
          <w:sz w:val="18"/>
          <w:szCs w:val="18"/>
          <w:color w:val="auto"/>
        </w:rPr>
        <w:t xml:space="preserve"> gene and AAV-CNGA3 for the treatment of achromatopsia caused by mutations in the </w:t>
      </w:r>
      <w:r>
        <w:rPr>
          <w:rFonts w:ascii="Times New Roman" w:cs="Times New Roman" w:eastAsia="Times New Roman" w:hAnsi="Times New Roman"/>
          <w:sz w:val="18"/>
          <w:szCs w:val="18"/>
          <w:i w:val="1"/>
          <w:iCs w:val="1"/>
          <w:color w:val="auto"/>
        </w:rPr>
        <w:t xml:space="preserve">CNGA3 </w:t>
      </w:r>
      <w:r>
        <w:rPr>
          <w:rFonts w:ascii="Times New Roman" w:cs="Times New Roman" w:eastAsia="Times New Roman" w:hAnsi="Times New Roman"/>
          <w:sz w:val="18"/>
          <w:szCs w:val="18"/>
          <w:color w:val="auto"/>
        </w:rPr>
        <w:t>gene. There is no guarantee that we will be able to obtain a priority review voucher, even if one or more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 therapy product candidates is approved by the FDA. While the rare pediatric disease priority voucher program began to sunset on December 20, 2024, the Consolidated Appropriations Act of 2026 signed into law on February 3, 2026, extended the program through September 30, 2029. Therefore, the sponsor of the marketing application for a drug that receives rare pediatric disease designation will be eligible to receive a voucher if the FDA approves the product for use within the designated rare pediatric disease on or before September 30, 2029, unless Congress reauthorizes the program further.</w:t>
      </w:r>
    </w:p>
    <w:p>
      <w:pPr>
        <w:spacing w:after="0" w:line="224"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for plasmid are subject to significant regulation with respect to manufacturing our products. Our manufacturing facilities and the third-party manufacturing facilities which we rely on may not continue to meet regulatory requirements and have limited capacity.</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plasmid, a component of our viral vectors and product candidates. We also have GMP manufacturing facilities in London, United Kingdom and Shannon, Ireland, which we expect can supply our current clinical and preclinical programs, as well as any anticipated third party supply obligations, through regulatory approval and, should they be approved, provide sufficient capacity for their commercial production. However, if we experience slowdowns or problems with our facilities or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for components of our product candidates, are subject to extensive regulation. Components of a finished therapeutic product approved for commercial sale or used in late-stage clinical trials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Generally, our facilities and quality systems and the facilities and quality systems of some or all of our third-party contractors must successfully complete a pre-approval inspection for compliance with the applicable regulations as a condition of regulatory approval of our product candidates or the product candidates that we manufacture for third parties. In addition, certain regulatory authorities may, at any time, audit or inspect a manufacturing facility involved with the preparation of our product candidates or the product candidates that we manufacture for third parties or the associated quality systems for compliance with the regulations applicable, if and when approved, to the activities being conducted. If these facilities do not successfully complete a pre-approval plant inspection, FDA, MHRA or other regulatory approval of the product candidates will not be granted.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MHRA or other regulatory authorities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Regulatory agencies may also require additional studies if a new manufacturer is relied upon for clinical or commercial production. Switching manufacturers may involve substantial costs and is likely to result in a delay in our desired clinical and commercial timelines.</w:t>
      </w:r>
    </w:p>
    <w:p>
      <w:pPr>
        <w:spacing w:after="0" w:line="19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79" w:lineRule="exact"/>
        <w:rPr>
          <w:sz w:val="20"/>
          <w:szCs w:val="20"/>
          <w:color w:val="auto"/>
        </w:rPr>
      </w:pPr>
    </w:p>
    <w:p>
      <w:pPr>
        <w:jc w:val="both"/>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raw materials or failure of our plasmid supplier to deliver necessary components, or other issues with the manufacturing process, could result in delays in our clinical development or marketing schedules.</w:t>
      </w:r>
    </w:p>
    <w:p>
      <w:pPr>
        <w:spacing w:after="0" w:line="17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In addition, our manufacturing process is complex, and the manufacturing batch cycle period can be several weeks long. Each batch cycle may not yield planned quantities or meet the required standards. A material shortage, contamination, recall or restriction on the use of biologically derived substances in the manufacture of our product candidates, failure of manufacturing equipment or systems or other issues with our manufacturing process, could adversely impact or disrupt the commercial manufacturing or the production of clinical material, which could adversely affect our development timelines and our business, financial condition, results of operations and prospects.</w:t>
      </w:r>
    </w:p>
    <w:p>
      <w:pPr>
        <w:spacing w:after="0" w:line="190"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has and will continue to be costly and we may be unsuccessful in doing so in a timely manner, which could delay our current and future clinical development programs, or delay the commercialization of our product candidates.</w:t>
      </w:r>
    </w:p>
    <w:p>
      <w:pPr>
        <w:spacing w:after="0" w:line="17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addition to our existing manufacturing facilities in London, United Kingdom and Shannon, Ireland, we may lease, operate, purchase, or construct additional facilities to supply our clinical and preclinical programs, as well as to meet any anticipated third party supply obligations, or conduct expanded manufacturing or other related activities in the future. Expanding our manufacturing capacity to produce the preclinical, clinical and commercial supply of our products and their components has required and will continue to require substantial additional expenditures, time, and various regulatory approvals and permits, as well as hiring, training and retraining employees and managerial personnel to staff our manufacturing and supply chain operations. Start-up costs can be large and may exceed our expectations,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for use in clinical trials and, should they be approved, to supply the commercial market at reasonable costs and in compliance with applicable regulatory requirements. We may not successfully expand, establish or sustain sufficient manufacturing capabilities or manufacture our products economically or in compliance with GMP and other regulatory requirements, and we and our collaborators may not be able to build or procure additional capacity in the required timeframe to meet the requirements of our clinical programs or to meet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potential commercial demand for our product candidates. This could also delay or require us to discontinue one or more of our clinical development programs or could interfere with our efforts to successfully commercialize our products. As a result, our business, prospects, operating results, and financial condition could be materially harmed.</w:t>
      </w:r>
    </w:p>
    <w:p>
      <w:pPr>
        <w:spacing w:after="0" w:line="17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encounter delays in enrolling, or be unable to enroll, a sufficient number of patients to complete any of our clinical trials, and even once enrolled we may be unable to retain a sufficient number of patients to complete any of our trials. This may result in increased costs, program delays or both, which could have a harmful effect on our ability to develop our product candidates, or could render further development impossible. The enrollment of patients depends on many factors, including:</w:t>
      </w:r>
    </w:p>
    <w:p>
      <w:pPr>
        <w:spacing w:after="0" w:line="189" w:lineRule="exact"/>
        <w:rPr>
          <w:sz w:val="20"/>
          <w:szCs w:val="20"/>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or side effects that may arise in development;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and</w:t>
      </w:r>
    </w:p>
    <w:p>
      <w:pPr>
        <w:spacing w:after="0" w:line="225" w:lineRule="exact"/>
        <w:rPr>
          <w:rFonts w:ascii="Times New Roman" w:cs="Times New Roman" w:eastAsia="Times New Roman" w:hAnsi="Times New Roman"/>
          <w:sz w:val="18"/>
          <w:szCs w:val="18"/>
          <w:color w:val="auto"/>
        </w:rPr>
      </w:pPr>
    </w:p>
    <w:p>
      <w:pPr>
        <w:ind w:left="1380" w:right="359" w:hanging="331"/>
        <w:spacing w:after="0" w:line="26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widespread health emergencies, or natural disasters including earthquakes, typhoons, floods and fires, or from economic or political instability.</w:t>
      </w:r>
    </w:p>
    <w:p>
      <w:pPr>
        <w:spacing w:after="0" w:line="1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addition, other clinical trials for product candidates that are in the same therapeutic areas as our product candidates or approved products for the same clinical indications (such as Luxturna marketed by Spark Therapeutics, Inc. for the treatment of RPE65-associated retinal disease) may reduce the number and type of patients available to us. Furthermore, although we have conducted and may in the future conduct natural history studies to better characterize the patient populations we seek to address, any natural history studies we may undertake could fail to provide us with patients for our clinical trials, because patients enrolled in the natural history studies may not be good candidates for our clinical trials or may choose to not enroll in our clinical trials.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serious adverse events or undesirable side effects or have other properties which may delay or prevent their regulatory approval, limit the commercial profile of an approved label, or, result in significant negative consequences following marketing approval, if any.</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MHRA or other authorities. Results of our clinical trials could reveal a high and unacceptable severity and prevalence of side effects, toxicities or unexpected characteristics, including death. A risk in any gene therapy product based on viral vectors is the risk of insertional mutagenesis.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unacceptable side effects or deaths arise in the development of our product candidates, we, the FDA, the IRBs at the institutions in which our studies are conducted, the DSMB, or other regulatory bodies could suspend or terminate our clinical trials or the FDA, MHRA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180" w:lineRule="exact"/>
        <w:rPr>
          <w:sz w:val="20"/>
          <w:szCs w:val="20"/>
          <w:color w:val="auto"/>
        </w:rPr>
      </w:pPr>
    </w:p>
    <w:p>
      <w:pPr>
        <w:ind w:left="1300" w:hanging="29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225" w:lineRule="exact"/>
        <w:rPr>
          <w:rFonts w:ascii="Times New Roman" w:cs="Times New Roman" w:eastAsia="Times New Roman" w:hAnsi="Times New Roman"/>
          <w:sz w:val="18"/>
          <w:szCs w:val="18"/>
          <w:color w:val="auto"/>
        </w:rPr>
      </w:pPr>
    </w:p>
    <w:p>
      <w:pPr>
        <w:ind w:left="1300" w:right="319" w:hanging="291"/>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w:t>
      </w:r>
    </w:p>
    <w:p>
      <w:pPr>
        <w:spacing w:after="0" w:line="161" w:lineRule="exact"/>
        <w:rPr>
          <w:rFonts w:ascii="Times New Roman" w:cs="Times New Roman" w:eastAsia="Times New Roman" w:hAnsi="Times New Roman"/>
          <w:sz w:val="18"/>
          <w:szCs w:val="18"/>
          <w:color w:val="auto"/>
        </w:rPr>
      </w:pPr>
    </w:p>
    <w:p>
      <w:pPr>
        <w:ind w:left="1300" w:right="419" w:hanging="291"/>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61" w:lineRule="exact"/>
        <w:rPr>
          <w:rFonts w:ascii="Times New Roman" w:cs="Times New Roman" w:eastAsia="Times New Roman" w:hAnsi="Times New Roman"/>
          <w:sz w:val="18"/>
          <w:szCs w:val="18"/>
          <w:color w:val="auto"/>
        </w:rPr>
      </w:pPr>
    </w:p>
    <w:p>
      <w:pPr>
        <w:ind w:left="1300" w:right="619" w:hanging="291"/>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 or similar risk management measures;</w:t>
      </w:r>
    </w:p>
    <w:p>
      <w:pPr>
        <w:spacing w:after="0" w:line="17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could become less competitive;</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clinical trials may not be indicative of results in future clinical trials.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Results from previous preclinical studies or clinical trials are not necessarily predictive of future clinical trial results, and interim results of a clinical trial are not necessarily indicative of final results. Our product candidates may fail to show the desired safety and efficacy in clinical development despite positive results in preclinical studies or having successfully advanced through initial clinical trials.</w:t>
      </w:r>
    </w:p>
    <w:p>
      <w:pPr>
        <w:spacing w:after="0" w:line="180"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w:t>
      </w:r>
    </w:p>
    <w:p>
      <w:pPr>
        <w:spacing w:after="0" w:line="162" w:lineRule="exact"/>
        <w:rPr>
          <w:sz w:val="20"/>
          <w:szCs w:val="20"/>
          <w:color w:val="auto"/>
        </w:rPr>
      </w:pPr>
    </w:p>
    <w:p>
      <w:pPr>
        <w:ind w:left="60" w:right="539" w:firstLine="648"/>
        <w:spacing w:after="0" w:line="254" w:lineRule="auto"/>
        <w:rPr>
          <w:sz w:val="20"/>
          <w:szCs w:val="20"/>
          <w:color w:val="auto"/>
        </w:rPr>
      </w:pPr>
      <w:r>
        <w:rPr>
          <w:rFonts w:ascii="Times New Roman" w:cs="Times New Roman" w:eastAsia="Times New Roman" w:hAnsi="Times New Roman"/>
          <w:sz w:val="18"/>
          <w:szCs w:val="18"/>
          <w:color w:val="auto"/>
        </w:rPr>
        <w:t>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Data obtained from preclinical and clinical activities are subject to varying interpretations, which may delay, limit or prevent regulatory approval, which could negatively impact our business, financial condition, results of operations and prospects.</w:t>
      </w:r>
    </w:p>
    <w:p>
      <w:pPr>
        <w:spacing w:after="0" w:line="188" w:lineRule="exact"/>
        <w:rPr>
          <w:sz w:val="20"/>
          <w:szCs w:val="20"/>
          <w:color w:val="auto"/>
        </w:rPr>
      </w:pPr>
    </w:p>
    <w:p>
      <w:pPr>
        <w:ind w:left="60" w:right="7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MHRA, competent authorities in the EU and other regulatory authorities are lengthy, time consuming and inherently unpredictable, and if we are ultimately unable to obtain regulatory approval for our product candidates, our business will be substantially harmed.</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MHRA, European Commission and other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pharmaceutical legislation in the EU has undergone a comprehensive reform as part of the European Commission’s Pharmaceutical Strategy for Europe initiative launched in November 2020. Following the European Commission’s publication of proposed revisions to the EU pharmaceutical framework on April 26, 2023, the European Parliament and the Council of the European Union reached political agreement on a legislative overhaul in December 2025, which overhaul remains subject to the finalization of legislative texts, implementing acts, and delegated legislation, with a multi-year transition period during which EU member states will align national laws and regulatory authorities will issue guidance. The adopted reforms include, among other things, changes to regulatory data protection and market exclusivity periods, revised eligibility criteria for expedited and incentive-based regulatory pathways, new access and supply-related obligations, and modifications to regulatory review procedures. While the full impact of the reforms will depend on final implementing measures and their application by EU and member state authorities, the revised framework could materially affect the development, regulatory approval, exclusivity, commercialization strategy, and profitability of medicinal products in the EU, and may have a significant impact on the pharmaceutical industry and our business in the long term.</w:t>
      </w:r>
    </w:p>
    <w:p>
      <w:pPr>
        <w:spacing w:after="0" w:line="19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not obtained regulatory approval for any product candidate and it is possible that none of our product candidates in clinical programs or any other product candidates we may seek to develop in the future will ever obtain regulatory approval. Neither we nor any future collaborator is permitted to market any of our product candidates in the United States, the UK or the EU until we receive regulatory approval of a BLA from the FDA or of an MAA from the MHRA or European Commission, respectively. It is possible that the FDA may refuse to accept for substantive review any BLAs, or the MHRA or EMA any of our MAAs, that we submit for our product candidates or may conclude after review of our data that our application is insufficient to obtain marketing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Prior to obtaining approval to commercialize a product candidate in the United States, the UK, the EU or elsewhere, we or our collaborators must demonstrate with substantial evidence from well-controlled clinical trials, and to the satisfaction of the FDA, MHRA, EMA or other foreign regulatory agencies, that such product candidates are safe and effective for their intended uses, or with respect to biologics in the United States, that such product candidates are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MHRA, European Commission or other regulatory authorities. The FDA, MHRA or EMA may also require us to conduct additional preclinical studies or clinical trials for our product candidates either prior to or post-approval, or it may object to elements of our clinical development program. Depending on the extent of these or any other FDA, MHRA or EMA required studies, approval of any regulatory approval applications that we submit may be delayed by several years, or may require us to expend significantly more resources than we have available.</w:t>
      </w:r>
    </w:p>
    <w:p>
      <w:pPr>
        <w:spacing w:after="0" w:line="18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Of the large number of potential products in development, only a small percentage successfully complete the FDA, MHRA, or other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08"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MHRA or European Commission approval for our product candidates in the United States, UK or EU, we may never obtain approval for or commercialize them in any other jurisdiction, which would limit our ability to realize their full market potential.</w:t>
      </w:r>
    </w:p>
    <w:p>
      <w:pPr>
        <w:spacing w:after="0" w:line="175"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Approval by the FDA in the United States, the MHRA in the UK or the competent authorities in the EU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84"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one or more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MHRA and other regulatory authorities. These requirements include submissions of safety and other post-marketing information and reports, establishment registration and drug listing requirements, continued compliance with GMP and similar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FDA, MHRA and other regulatory authorities closely regulate the post-approval marketing and promotion of genetic therapy medicines to ensure they are marketed only for the approved indications and in accordance with the provisions of the approved labeling. The FDA, MHRA and other regulatory authorities impose stringent restrictions on manufacturers’ communications regarding off-label use and if we market our products for uses beyond their approved indications, we may be subject to enforcement action for off-label marketing. Violations of the U.S. federal Food, Drug, and Cosmetic Act, or FDCA, relating to the promotion of prescription drugs may lead to FDA enforcement actions and investigations alleging violations of federal and state healthcare fraud and abuse laws, as well as state consumer protection laws. Similar risks apply in foreign jurisdictions.</w:t>
      </w:r>
    </w:p>
    <w:p>
      <w:pPr>
        <w:spacing w:after="0" w:line="19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including adverse events of unanticipated severity or frequency, or with our manufacturing processes or third-party manufacturers, or failure to comply with regulatory requirements, may yield various results, including:</w:t>
      </w:r>
    </w:p>
    <w:p>
      <w:pPr>
        <w:spacing w:after="0" w:line="139" w:lineRule="exact"/>
        <w:rPr>
          <w:sz w:val="20"/>
          <w:szCs w:val="20"/>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FDA’s and foreign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in other countries. If we are slow or unable to adapt to changes in existing requirements or the adoption of new requirements or policies, or if we are not able to maintain regulatory compliance, we may be subject to enforcement action, which would adversely affect our business, prospects and ability to achieve or sustain profitability.</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study or trial. We also make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clinical trials. Interim data from these trials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our competitors could result in volatility in the price of our ordinary shares.</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4" w:lineRule="exact"/>
        <w:rPr>
          <w:sz w:val="20"/>
          <w:szCs w:val="20"/>
          <w:color w:val="auto"/>
        </w:rPr>
      </w:pPr>
    </w:p>
    <w:p>
      <w:pPr>
        <w:ind w:left="6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or disruptions caused by global health concerns impacting, the FDA and other government or regulatory agencies could hinder their ability to hire and retain key leadership and other personnel, or otherwise prevent new products and services from being developed, approved or commercialized in a timely manner, which could negatively impact our business.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disruptions caused by global health concerns, ability to hire and retain key personnel, including those with experience relating to novel gene therapy product candidates, acceptance of the payment of user fees, statutory, regulatory, and policy changes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spacing w:after="0" w:line="192" w:lineRule="exact"/>
        <w:rPr>
          <w:sz w:val="20"/>
          <w:szCs w:val="20"/>
          <w:color w:val="auto"/>
        </w:rPr>
      </w:pPr>
    </w:p>
    <w:p>
      <w:pPr>
        <w:jc w:val="both"/>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Disruptions at the FDA and other government or regulatory agencies such as the EMA may also slow the time necessary for new product candidates to be reviewed and/or approved, which would adversely affect our business. For example, the U.S. government was recently shut down due to Congress not having passed appropriations bills to fund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government activity, and certain regulatory agencies, such as the FDA, have had to furlough critical FDA employees and stop critical activities. Prolonged government shutdowns could significantly impact the ability of the FDA to timely review and process our regulatory submissions, which could have a material adverse effect on our business. In addition, the current presidential administration has laid off thousands of federal health workers, including at the FDA, and the leadership of CBER changed multiple times since the beginning of 2025, which may delay review times for approval of our product candidates and impact our ability to correspond with the FDA regarding the development of our programs in a timely fashion.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22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UK,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92" w:lineRule="exact"/>
        <w:rPr>
          <w:sz w:val="20"/>
          <w:szCs w:val="20"/>
          <w:color w:val="auto"/>
        </w:rPr>
      </w:pPr>
    </w:p>
    <w:p>
      <w:pPr>
        <w:ind w:left="1300" w:right="639" w:hanging="291"/>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12" w:lineRule="exact"/>
        <w:rPr>
          <w:rFonts w:ascii="Times New Roman" w:cs="Times New Roman" w:eastAsia="Times New Roman" w:hAnsi="Times New Roman"/>
          <w:sz w:val="18"/>
          <w:szCs w:val="18"/>
          <w:color w:val="auto"/>
        </w:rPr>
      </w:pPr>
    </w:p>
    <w:p>
      <w:pPr>
        <w:ind w:left="1300" w:right="219" w:hanging="291"/>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94" w:lineRule="exact"/>
        <w:rPr>
          <w:rFonts w:ascii="Times New Roman" w:cs="Times New Roman" w:eastAsia="Times New Roman" w:hAnsi="Times New Roman"/>
          <w:sz w:val="18"/>
          <w:szCs w:val="18"/>
          <w:color w:val="auto"/>
        </w:rPr>
      </w:pPr>
    </w:p>
    <w:p>
      <w:pPr>
        <w:ind w:left="1300" w:right="359" w:hanging="291"/>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8"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 on biologic products;</w:t>
      </w:r>
    </w:p>
    <w:p>
      <w:pPr>
        <w:spacing w:after="0" w:line="157" w:lineRule="exact"/>
        <w:rPr>
          <w:rFonts w:ascii="Times New Roman" w:cs="Times New Roman" w:eastAsia="Times New Roman" w:hAnsi="Times New Roman"/>
          <w:sz w:val="18"/>
          <w:szCs w:val="18"/>
          <w:color w:val="auto"/>
        </w:rPr>
      </w:pPr>
    </w:p>
    <w:p>
      <w:pPr>
        <w:ind w:left="1300" w:right="639" w:hanging="291"/>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94" w:lineRule="exact"/>
        <w:rPr>
          <w:rFonts w:ascii="Times New Roman" w:cs="Times New Roman" w:eastAsia="Times New Roman" w:hAnsi="Times New Roman"/>
          <w:sz w:val="18"/>
          <w:szCs w:val="18"/>
          <w:color w:val="auto"/>
        </w:rPr>
      </w:pPr>
    </w:p>
    <w:p>
      <w:pPr>
        <w:ind w:left="1300" w:right="239" w:hanging="291"/>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10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Congressional and executive branch challenges to certain aspects of the ACA. On June 17, 2021, the U.S. Supreme Court dismissed the most recent judicial challenge to the Patient Protection and Affordable Care Act, or the ACA, brought by several states without specifically ruling on the constitutionality of the ACA.</w:t>
      </w:r>
    </w:p>
    <w:p>
      <w:pPr>
        <w:spacing w:after="0" w:line="11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including aggregate reductions of Medicare payments to providers, which was temporarily suspended from May 1, 2020 through March 31, 2022, and reduced payments to several types of Medicare providers. In March 2021, the American Rescue Plan Act of 2021 was signed into law, which eliminated the statutory cap on drug manufacturers’ Medicaid drug rebate liability for single source and innovator multiple source drugs, beginning January 1, 2024. The rebate was previously capped at 100% of a drug’s average manufacturer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August 2022, the Inflation Reduction Act, or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U.S. Department of Health and Human Services, or HHS, to implement many of these provisions through guidance, as opposed to regulation, for the initial years. CMS has published the negotiated prices for the initial ten drugs, which went into effect in 2026, and the list of the subsequent 15 drugs, which will first be effective in 2027, as well as the next set of 15 drugs that will be subject to negotiation, although the Medicare drug price negotiation program is currently subject to legal challenges. While the impact of the IRA on the pharmaceutical industry cannot yet be fully determined, it is likely to be significant. For that and other reasons, it is currently unclear how the IRA will be effectuated. These new laws or any other similar laws introduced in the future may result in additional reductions in Medicare and other healthcare funding, which could negatively affect our customers and accordingly, our financial operations.</w:t>
      </w:r>
    </w:p>
    <w:p>
      <w:pPr>
        <w:spacing w:after="0" w:line="19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Additionally, on July 4, 2025,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declines to extend the ACA enhanced advanced premium tax credits that expired at the end of 2025, which, among other provisions in the law, are anticipated to reduce the number of Americans with health insurance.</w:t>
      </w:r>
    </w:p>
    <w:p>
      <w:pPr>
        <w:spacing w:after="0" w:line="187" w:lineRule="exact"/>
        <w:rPr>
          <w:sz w:val="20"/>
          <w:szCs w:val="20"/>
          <w:color w:val="auto"/>
        </w:rPr>
      </w:pPr>
    </w:p>
    <w:p>
      <w:pPr>
        <w:ind w:left="60" w:right="159" w:firstLine="648"/>
        <w:spacing w:after="0" w:line="269" w:lineRule="auto"/>
        <w:rPr>
          <w:sz w:val="20"/>
          <w:szCs w:val="20"/>
          <w:color w:val="auto"/>
        </w:rPr>
      </w:pPr>
      <w:r>
        <w:rPr>
          <w:rFonts w:ascii="Times New Roman" w:cs="Times New Roman" w:eastAsia="Times New Roman" w:hAnsi="Times New Roman"/>
          <w:sz w:val="17"/>
          <w:szCs w:val="17"/>
          <w:color w:val="auto"/>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0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Payment methodologies may also be subject to changes in healthcare legislation and regulatory initiatives. For example, CMS may develop new payment and delivery models, such as bundled payment models.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determine what pharmaceutical products and which suppliers will be included in their prescription drug and other healthcare programs. This could reduce the ultimate demand for our product candidates or put pressure on our product pricing.</w:t>
      </w:r>
    </w:p>
    <w:p>
      <w:pPr>
        <w:spacing w:after="0" w:line="17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w:t>
      </w:r>
    </w:p>
    <w:p>
      <w:pPr>
        <w:spacing w:after="0" w:line="17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180" w:lineRule="exact"/>
        <w:rPr>
          <w:sz w:val="20"/>
          <w:szCs w:val="20"/>
          <w:color w:val="auto"/>
        </w:rPr>
      </w:pPr>
    </w:p>
    <w:p>
      <w:pPr>
        <w:ind w:left="60" w:right="339" w:firstLine="648"/>
        <w:spacing w:after="0" w:line="253" w:lineRule="auto"/>
        <w:rPr>
          <w:sz w:val="20"/>
          <w:szCs w:val="20"/>
          <w:color w:val="auto"/>
        </w:rPr>
      </w:pPr>
      <w:r>
        <w:rPr>
          <w:rFonts w:ascii="Times New Roman" w:cs="Times New Roman" w:eastAsia="Times New Roman" w:hAnsi="Times New Roman"/>
          <w:sz w:val="18"/>
          <w:szCs w:val="18"/>
          <w:color w:val="auto"/>
        </w:rPr>
        <w:t>In the UK and EU, similar political, economic and regulatory developments may affect our ability to profitably commercialize our product candidates, if approved. In addition to continuing pressure on prices and cost containment measures, legislative developments at the UK or the EU or member state level may result in significant additional requirements or obstacles that may increase our operating costs. The delivery of healthcare in the UK and the EU, including the establishment and operation of health services and the pricing and reimbursement of medicines, is almost exclusively a matter for national law and policy. National governments and health service providers have different priorities and approaches to the delivery of healthcare and the pricing and reimbursement of products in that context. In general, however, the healthcare budgetary constraints in the UK and in most EU member states have resulted in restrictions on the pricing and reimbursement of medicines by relevant health service providers. Coupled with ever-increasing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9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in the EU.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In markets outside of the United States, the UK and the EU, reimbursement and healthcare payment systems vary significantly by country, and many countries have instituted price ceilings on specific products and therapies.</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UK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7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laws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83" w:lineRule="exact"/>
        <w:rPr>
          <w:sz w:val="20"/>
          <w:szCs w:val="20"/>
          <w:color w:val="auto"/>
        </w:rPr>
      </w:pPr>
    </w:p>
    <w:p>
      <w:pPr>
        <w:ind w:left="1300" w:right="139" w:hanging="304"/>
        <w:spacing w:after="0" w:line="254" w:lineRule="auto"/>
        <w:tabs>
          <w:tab w:leader="none" w:pos="12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191" w:lineRule="exact"/>
        <w:rPr>
          <w:rFonts w:ascii="Times New Roman" w:cs="Times New Roman" w:eastAsia="Times New Roman" w:hAnsi="Times New Roman"/>
          <w:sz w:val="18"/>
          <w:szCs w:val="18"/>
          <w:color w:val="auto"/>
        </w:rPr>
      </w:pPr>
    </w:p>
    <w:p>
      <w:pPr>
        <w:ind w:left="1300" w:right="199" w:hanging="291"/>
        <w:spacing w:after="0" w:line="254"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88" w:lineRule="exact"/>
        <w:rPr>
          <w:rFonts w:ascii="Times New Roman" w:cs="Times New Roman" w:eastAsia="Times New Roman" w:hAnsi="Times New Roman"/>
          <w:sz w:val="18"/>
          <w:szCs w:val="18"/>
          <w:color w:val="auto"/>
        </w:rPr>
      </w:pPr>
    </w:p>
    <w:p>
      <w:pPr>
        <w:ind w:left="1300" w:right="279" w:hanging="291"/>
        <w:spacing w:after="0" w:line="255"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created additional federal criminal statutes which prohibit,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8" w:lineRule="exact"/>
        <w:rPr>
          <w:rFonts w:ascii="Times New Roman" w:cs="Times New Roman" w:eastAsia="Times New Roman" w:hAnsi="Times New Roman"/>
          <w:sz w:val="18"/>
          <w:szCs w:val="18"/>
          <w:color w:val="auto"/>
        </w:rPr>
      </w:pPr>
    </w:p>
    <w:p>
      <w:pPr>
        <w:ind w:left="1300" w:right="219" w:hanging="291"/>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61" w:lineRule="exact"/>
        <w:rPr>
          <w:rFonts w:ascii="Times New Roman" w:cs="Times New Roman" w:eastAsia="Times New Roman" w:hAnsi="Times New Roman"/>
          <w:sz w:val="18"/>
          <w:szCs w:val="18"/>
          <w:color w:val="auto"/>
        </w:rPr>
      </w:pPr>
    </w:p>
    <w:p>
      <w:pPr>
        <w:ind w:left="1300" w:right="259" w:hanging="291"/>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Public Health Service Act, which prohibits, among other things, the introduction into interstate commerce of a biological product unless a biologics license is in effect for that product;</w:t>
      </w:r>
    </w:p>
    <w:p>
      <w:pPr>
        <w:spacing w:after="0" w:line="161" w:lineRule="exact"/>
        <w:rPr>
          <w:rFonts w:ascii="Times New Roman" w:cs="Times New Roman" w:eastAsia="Times New Roman" w:hAnsi="Times New Roman"/>
          <w:sz w:val="18"/>
          <w:szCs w:val="18"/>
          <w:color w:val="auto"/>
        </w:rPr>
      </w:pPr>
    </w:p>
    <w:p>
      <w:pPr>
        <w:ind w:left="1300" w:right="259" w:hanging="291"/>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159" w:hanging="304"/>
        <w:spacing w:after="0" w:line="254" w:lineRule="auto"/>
        <w:tabs>
          <w:tab w:leader="none" w:pos="12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w:t>
      </w:r>
    </w:p>
    <w:p>
      <w:pPr>
        <w:spacing w:after="0" w:line="191" w:lineRule="exact"/>
        <w:rPr>
          <w:rFonts w:ascii="Times New Roman" w:cs="Times New Roman" w:eastAsia="Times New Roman" w:hAnsi="Times New Roman"/>
          <w:sz w:val="18"/>
          <w:szCs w:val="18"/>
          <w:color w:val="auto"/>
        </w:rPr>
      </w:pPr>
    </w:p>
    <w:p>
      <w:pPr>
        <w:ind w:left="1300" w:right="179" w:hanging="291"/>
        <w:spacing w:after="0" w:line="253"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194" w:lineRule="exact"/>
        <w:rPr>
          <w:rFonts w:ascii="Times New Roman" w:cs="Times New Roman" w:eastAsia="Times New Roman" w:hAnsi="Times New Roman"/>
          <w:sz w:val="18"/>
          <w:szCs w:val="18"/>
          <w:color w:val="auto"/>
        </w:rPr>
      </w:pPr>
    </w:p>
    <w:p>
      <w:pPr>
        <w:ind w:left="1300" w:right="699" w:hanging="291"/>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UK, EU and other jurisdictions, including reporting requirements detailing interactions with and payments to healthcare providers.</w:t>
      </w:r>
    </w:p>
    <w:p>
      <w:pPr>
        <w:spacing w:after="0" w:line="16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2"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regulation and other legal obligations relating to data privacy and protection. Compliance with these requirements is complex and costly. The actual or perceived failure to comply with such obligations could materially harm our business.</w:t>
      </w:r>
    </w:p>
    <w:p>
      <w:pPr>
        <w:spacing w:after="0" w:line="175" w:lineRule="exact"/>
        <w:rPr>
          <w:sz w:val="20"/>
          <w:szCs w:val="20"/>
          <w:color w:val="auto"/>
        </w:rPr>
      </w:pPr>
    </w:p>
    <w:p>
      <w:pPr>
        <w:ind w:left="60" w:right="159" w:firstLine="531"/>
        <w:spacing w:after="0" w:line="261" w:lineRule="auto"/>
        <w:rPr>
          <w:sz w:val="20"/>
          <w:szCs w:val="20"/>
          <w:color w:val="auto"/>
        </w:rPr>
      </w:pPr>
      <w:r>
        <w:rPr>
          <w:rFonts w:ascii="Times New Roman" w:cs="Times New Roman" w:eastAsia="Times New Roman" w:hAnsi="Times New Roman"/>
          <w:sz w:val="18"/>
          <w:szCs w:val="18"/>
          <w:color w:val="auto"/>
        </w:rPr>
        <w:t>The global data protection landscape is continually evolving, and we are or may become subject to numerous state, federal and foreign laws, requirements and regulations governing the collection, use, access to, confidentiality, disclosure, storage, processing, retention and security of personal information such as information that we may collect in connection with clinical trials in the U.S. and abroad.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531"/>
        <w:spacing w:after="0" w:line="253" w:lineRule="auto"/>
        <w:rPr>
          <w:sz w:val="20"/>
          <w:szCs w:val="20"/>
          <w:color w:val="auto"/>
        </w:rPr>
      </w:pPr>
      <w:r>
        <w:rPr>
          <w:rFonts w:ascii="Times New Roman" w:cs="Times New Roman" w:eastAsia="Times New Roman" w:hAnsi="Times New Roman"/>
          <w:sz w:val="18"/>
          <w:szCs w:val="18"/>
          <w:color w:val="auto"/>
        </w:rPr>
        <w:t>In the U.S., HIPAA imposes privacy, security and breach reporting obligations with respect to individually identifiable health information upon “covered entities” (health plans, healthcare clearinghouses and certain healthcare providers), and their respective business associates, individuals or entities that create, receive, maintain or transmit protected health information in connection with providing a service for or on behalf of a covered entity, as well as their covered subcontractors. Most healthcare providers, including research institutions and other vendors from which we may obtain health-related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92" w:lineRule="exact"/>
        <w:rPr>
          <w:sz w:val="20"/>
          <w:szCs w:val="20"/>
          <w:color w:val="auto"/>
        </w:rPr>
      </w:pPr>
    </w:p>
    <w:p>
      <w:pPr>
        <w:ind w:left="60" w:right="99" w:firstLine="531"/>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Further, we may also be subject to other state laws governing the privacy, processing and protection of personal information. For example, the California Consumer Privacy Act, or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Similar laws have been passed in other states, and are continuing to be proposed at the state and the federal level, reflecting a trend toward more stringent privacy legislation in the United States. HIPAA, the CCPA and other domestic privacy and data protection laws and regulations may increase our compliance costs and potential liability.</w:t>
      </w:r>
    </w:p>
    <w:p>
      <w:pPr>
        <w:spacing w:after="0" w:line="187" w:lineRule="exact"/>
        <w:rPr>
          <w:sz w:val="20"/>
          <w:szCs w:val="20"/>
          <w:color w:val="auto"/>
        </w:rPr>
      </w:pPr>
    </w:p>
    <w:p>
      <w:pPr>
        <w:ind w:left="60" w:right="159" w:firstLine="531"/>
        <w:spacing w:after="0" w:line="254"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the General Data Protection Regulation, or GDPR, imposes stringent requirements for processing the personal data of individuals within the European Economic Area, or EEA, which consists of the 27 EU member states plus Iceland, Lichtenstein and Norway, or in the context of our activities within the EEA. Companies that must comply with the GDPR face increased compliance obligations and risk, including more robust regulatory enforcement of data protection requirements and, among other things, potential fines for noncompliance of up to €20 million or up to 4% of the total worldwide annual turnover of the relevant undertaking in the preceding financial year, whichever is higher, and other administrative penalties.</w:t>
      </w:r>
    </w:p>
    <w:p>
      <w:pPr>
        <w:spacing w:after="0" w:line="151" w:lineRule="exact"/>
        <w:rPr>
          <w:sz w:val="20"/>
          <w:szCs w:val="20"/>
          <w:color w:val="auto"/>
        </w:rPr>
      </w:pPr>
    </w:p>
    <w:p>
      <w:pPr>
        <w:ind w:left="60" w:right="139" w:firstLine="589"/>
        <w:spacing w:after="0" w:line="269" w:lineRule="auto"/>
        <w:rPr>
          <w:sz w:val="20"/>
          <w:szCs w:val="20"/>
          <w:color w:val="auto"/>
        </w:rPr>
      </w:pPr>
      <w:r>
        <w:rPr>
          <w:rFonts w:ascii="Times New Roman" w:cs="Times New Roman" w:eastAsia="Times New Roman" w:hAnsi="Times New Roman"/>
          <w:sz w:val="17"/>
          <w:szCs w:val="17"/>
          <w:color w:val="auto"/>
        </w:rPr>
        <w:t>Among other requirements, the GDPR regulates transfers of personal data subject to the GDPR to third countries that have not been found to provide adequate protection to such personal data, including the U.S.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The General Court of the European Union upheld that decision in September 2025, although adequacy decisions are subject to periodic review and may be challenged, modified, suspended or invalidated. As a result, international data transfers remain subject to legal uncertainty and heightened regulatory scrutiny. Any inability to lawfully transfer personal data across jurisdictions in which we operate could require us to implement additional safeguards, localize data or systems, or modify our operations, which could increase costs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531"/>
        <w:spacing w:after="0" w:line="273" w:lineRule="auto"/>
        <w:rPr>
          <w:sz w:val="20"/>
          <w:szCs w:val="20"/>
          <w:color w:val="auto"/>
        </w:rPr>
      </w:pPr>
      <w:r>
        <w:rPr>
          <w:rFonts w:ascii="Times New Roman" w:cs="Times New Roman" w:eastAsia="Times New Roman" w:hAnsi="Times New Roman"/>
          <w:sz w:val="17"/>
          <w:szCs w:val="17"/>
          <w:color w:val="auto"/>
        </w:rPr>
        <w:t>Further, we are subject to the UK GDPR, which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UK privacy law has been, and continues to be, subject to scrutiny and proposed changes. This could affect the ease of data transfers between the EEA and the UK in the future. As we continue to expand into other foreign countries and jurisdictions, we may be subject to additional laws and regulations that may affect how we conduct business.</w:t>
      </w:r>
    </w:p>
    <w:p>
      <w:pPr>
        <w:spacing w:after="0" w:line="17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as well as our contractual obligations and other legal obligations, relating to data privacy and security, these requirements are evolving and may be modified, interpreted and applied in an inconsistent manner from one jurisdiction and/or organization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data and security concerns, even if unfounded, could result in additional costs, claims by and liability to third parties, government investigations and enforcement actions, damage to our reputation, and other adverse affects on our business, financial condition and results of operations.</w:t>
      </w:r>
    </w:p>
    <w:p>
      <w:pPr>
        <w:spacing w:after="0" w:line="18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159" w:lineRule="exact"/>
        <w:rPr>
          <w:sz w:val="20"/>
          <w:szCs w:val="20"/>
          <w:color w:val="auto"/>
        </w:rPr>
      </w:pPr>
    </w:p>
    <w:p>
      <w:pPr>
        <w:ind w:left="60" w:right="139" w:firstLine="531"/>
        <w:spacing w:after="0" w:line="271" w:lineRule="auto"/>
        <w:rPr>
          <w:sz w:val="20"/>
          <w:szCs w:val="20"/>
          <w:color w:val="auto"/>
        </w:rPr>
      </w:pPr>
      <w:r>
        <w:rPr>
          <w:rFonts w:ascii="Times New Roman" w:cs="Times New Roman" w:eastAsia="Times New Roman" w:hAnsi="Times New Roman"/>
          <w:sz w:val="17"/>
          <w:szCs w:val="17"/>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Additionally, if environmental regulations are enacted that restrict our ability to use one or more of the materials or compounds necessary to manufacture our product candidates, and we are unable to find suitable alternatives or such alternatives require additional testing or will extend the manufacturing timeline, then we may be unable to manufacture our product candidates in a timely manner, or at all.</w:t>
      </w:r>
    </w:p>
    <w:p>
      <w:pPr>
        <w:spacing w:after="0" w:line="173" w:lineRule="exact"/>
        <w:rPr>
          <w:sz w:val="20"/>
          <w:szCs w:val="20"/>
          <w:color w:val="auto"/>
        </w:rPr>
      </w:pPr>
    </w:p>
    <w:p>
      <w:pPr>
        <w:ind w:left="60" w:right="399" w:firstLine="590"/>
        <w:spacing w:after="0" w:line="258" w:lineRule="auto"/>
        <w:rPr>
          <w:sz w:val="20"/>
          <w:szCs w:val="20"/>
          <w:color w:val="auto"/>
        </w:rPr>
      </w:pPr>
      <w:r>
        <w:rPr>
          <w:rFonts w:ascii="Times New Roman" w:cs="Times New Roman" w:eastAsia="Times New Roman" w:hAnsi="Times New Roman"/>
          <w:sz w:val="18"/>
          <w:szCs w:val="18"/>
          <w:color w:val="auto"/>
        </w:rPr>
        <w:t>We may be subject to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efforts or those of our third-party manufacturers may be interrupted or delayed.</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internal controls to detect and prevent violations of applicable anti-corruption laws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gene therapy products is highly competitive. Moreover, the gene regulation and manufacturing fields are characterized by rapidly changing technologies and a strong emphasis on intellectual property. We may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including inherited retinal diseases and neurodegenerative diseases. Some of these competitive products and therapies are based on scientific approaches that are similar to our approach, and others are based on entirely different approaches. Differences in the scientific approaches may create confusion or uncertainty among clinical trial investigators or patient populations, which could delay or hinder enrollment or initiation of our clinical trials.</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platform and products focus on the development of gene therapies and gene regulation technology. In 2017, the FDA approved the first gene treatment for RPE65-associated retinal disease, Luxturna, a commercially available product developed by Spark Therapeutics, Inc., which was purchased by Roche. There are a number of other companies developing ocular gene therapy products, including Beacon Therapeutics Limited and 4D Molecular Therapeutics, Inc. There are a number of companies developing gene therapy products for neurodegenerative diseases, including Voyager Therapeutics, Inc. and Lilly. In addition to competition from other gene therapies, any products we may develop may also face competition from other types of therapies, such as small molecule, antibody, or protein therapies. Many of our current or potential competitors, either alone or with their collaboration partners, have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These competitors also compete with us in recruiting and retaining qualified scientific, manufacturing and management personnel and establishing clinical trial sites and patient enrollment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limiting demand or the price we are able to charge, or that could render any products that we may develop obsolete or non-competitive. Our competitors also may obtain FDA, MHRA or other regulatory approval for their products more rapidly than we may obtain approval for ours, which could result in our competitors establishing a strong market position before we are able to enter the market. In addition, as a result of the expiration or successful challenge of our patent rights, we could face more litigation with respect to the validity and/or scope of patents relating to our competitors’ products.</w:t>
      </w:r>
    </w:p>
    <w:p>
      <w:pPr>
        <w:spacing w:after="0" w:line="184" w:lineRule="exact"/>
        <w:rPr>
          <w:sz w:val="20"/>
          <w:szCs w:val="20"/>
          <w:color w:val="auto"/>
        </w:rPr>
      </w:pPr>
    </w:p>
    <w:p>
      <w:pPr>
        <w:ind w:left="6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18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availability of coverage and adequacy of reimbursement by governmental healthcare programs such as Medicare and Medicaid, private health insurers and other third-party payors are essential for most patients to be able to afford medical services and pharmaceutical products such as our product candidates, assuming FDA approval. Our ability to achieve acceptable levels of coverage and reimbursement for our products or procedures using our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separately reimburse for our products or procedures using our products, could reduce physician utilization of our products if approved. Assuming there is such coverage by a third-party payor, the resulting reimbursement payment rates may not be adequate or may require co-payments that patients find unacceptably high. We cannot be sure that coverage and reimbursement in the United States, the UK, the EU or elsewhere will be available for our product candidates or any product that we may develop, and any reimbursement that may become available may not be adequate or may be decreased or eliminated in the future.</w:t>
      </w:r>
    </w:p>
    <w:p>
      <w:pPr>
        <w:spacing w:after="0" w:line="19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92" w:lineRule="exact"/>
        <w:rPr>
          <w:sz w:val="20"/>
          <w:szCs w:val="20"/>
          <w:color w:val="auto"/>
        </w:rPr>
      </w:pPr>
    </w:p>
    <w:p>
      <w:pPr>
        <w:jc w:val="both"/>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commercially-reasonable revenue and profits.</w:t>
      </w:r>
    </w:p>
    <w:p>
      <w:pPr>
        <w:spacing w:after="0" w:line="188"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67" w:lineRule="exact"/>
        <w:rPr>
          <w:sz w:val="20"/>
          <w:szCs w:val="20"/>
          <w:color w:val="auto"/>
        </w:rPr>
      </w:pPr>
    </w:p>
    <w:p>
      <w:pPr>
        <w:ind w:left="60" w:right="8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receive marketing approval, they may fail to achieve market acceptance by physicians, patients, third-party payors or others in the medical community necessary for commercial success.</w:t>
      </w:r>
    </w:p>
    <w:p>
      <w:pPr>
        <w:spacing w:after="0" w:line="13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our product candidates receive marketing approval, they may nonetheless fail to gain sufficient market acceptance by physicians, patients, third-party payors and others in the medical community. If they do not achieve an adequate level of acceptance, we may not generate significant product revenues or become profitable. The degree of market acceptance of our product candidates, if approved for commercial sale, will depend on a number of factors, including but not limited to:</w:t>
      </w:r>
    </w:p>
    <w:p>
      <w:pPr>
        <w:spacing w:after="0" w:line="183" w:lineRule="exact"/>
        <w:rPr>
          <w:sz w:val="20"/>
          <w:szCs w:val="20"/>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candidates for sale at competitive prices;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225" w:lineRule="exact"/>
        <w:rPr>
          <w:rFonts w:ascii="Times New Roman" w:cs="Times New Roman" w:eastAsia="Times New Roman" w:hAnsi="Times New Roman"/>
          <w:sz w:val="18"/>
          <w:szCs w:val="18"/>
          <w:color w:val="auto"/>
        </w:rPr>
      </w:pPr>
    </w:p>
    <w:p>
      <w:pPr>
        <w:ind w:left="1300" w:right="299" w:hanging="291"/>
        <w:spacing w:after="0" w:line="313"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21" w:lineRule="exact"/>
        <w:rPr>
          <w:rFonts w:ascii="Times New Roman" w:cs="Times New Roman" w:eastAsia="Times New Roman" w:hAnsi="Times New Roman"/>
          <w:sz w:val="18"/>
          <w:szCs w:val="18"/>
          <w:color w:val="auto"/>
        </w:rPr>
      </w:pPr>
    </w:p>
    <w:p>
      <w:pPr>
        <w:ind w:left="1300" w:right="299" w:hanging="291"/>
        <w:spacing w:after="0" w:line="313"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publicity concerning our products or competing products and treatments;</w:t>
      </w:r>
    </w:p>
    <w:p>
      <w:pPr>
        <w:spacing w:after="0" w:line="94"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225" w:lineRule="exact"/>
        <w:rPr>
          <w:rFonts w:ascii="Times New Roman" w:cs="Times New Roman" w:eastAsia="Times New Roman" w:hAnsi="Times New Roman"/>
          <w:sz w:val="18"/>
          <w:szCs w:val="18"/>
          <w:color w:val="auto"/>
        </w:rPr>
      </w:pPr>
    </w:p>
    <w:p>
      <w:pPr>
        <w:ind w:left="1300" w:right="939" w:hanging="291"/>
        <w:spacing w:after="0" w:line="313"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MHRA, EMA or other regulatory authorities, including any limitations or warnings contained in a product’s approved labeling;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00" w:hanging="291"/>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together with other medications.</w:t>
      </w:r>
    </w:p>
    <w:p>
      <w:pPr>
        <w:spacing w:after="0" w:line="212" w:lineRule="exact"/>
        <w:rPr>
          <w:sz w:val="20"/>
          <w:szCs w:val="20"/>
          <w:color w:val="auto"/>
        </w:rPr>
      </w:pPr>
    </w:p>
    <w:p>
      <w:pPr>
        <w:jc w:val="both"/>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Because we expect sales of our product candidates, if approved, to generate substantially all of our product revenues for a substantial period, the failure of these product candidates to find market acceptance would harm our business and could require us to seek additional financing.</w:t>
      </w:r>
    </w:p>
    <w:p>
      <w:pPr>
        <w:spacing w:after="0" w:line="172"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product candidates or realizing the synergies in the target indications of our programs, even if they are approved.</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do not have any infrastructure for the sales, marketing or distribution of our products, and the cost of establishing and maintaining such an organization may exceed the cost-effectiveness of doing so or we may seek collaborative arrangements or external funding to commercialize our product candidates.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such capabilities could delay any product launch, which would adversely impact the commercialization of our product candidates. Additionally, if any commercial launch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4"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We may not have the resources in the foreseeable future to allocate to the sales and marketing of our product candidates in certain markets. Therefore, our future sales in these markets will largely depend on our ability to enter into and maintain collaborative relationships for such capabilities, the collaborator’s strategic interest in the product and such collaborator’s ability to successfully market and sell the product. For example, Lilly will be solely responsible for the commercialization of AAV-AIPL1 pursuant to the Lilly Collaboration Agreement. We also may pursue collaborative arrangements regarding the sale and marketing of AAV-hAQP1, AAV-GAD, bota-vec, our other IRD programs, our riboswitch gene regulation platform technology or other future gene therapy programs, if approved, for the United States and/or certain markets overseas; however, there can be no assurance that we will be able to establish or maintain such collaborative arrangements, or if able to do so, that they will have effective sales forces.</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build our own sales force or negotiate or maintain a collaborative relationship for the commercialization of our product candidates, we may be forced to delay potential commercialization or reduce the scope of our sales or marketing activities. If we elect to increase our expenditures to fund commercialization activities internationally, we will need to obtain additional capital, which may not be available to us on acceptable terms, or at all. We could enter into arrangements with collaborative partners at an earlier stage than otherwise would be ideal and we may be required to relinquish rights or otherwise agree to terms unfavorable to us, any of which may have an adverse effect on our business, operating results and prospects.</w:t>
      </w:r>
    </w:p>
    <w:p>
      <w:pPr>
        <w:spacing w:after="0" w:line="18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Some indications targeted by our ophthalmology programs are rare, but we anticipate realizing synergies in commercializing our IRD product candidates, should they be approved. Failure to realize synergies in our sales, marketing and distribution efforts may harm our commercialization efforts.</w:t>
      </w:r>
    </w:p>
    <w:p>
      <w:pPr>
        <w:spacing w:after="0" w:line="1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If we or our collaborators are unable to establish or maintain adequate sales, marketing and distribution capabilities, we will not be successful in commercializing our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right="259"/>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products are commercialized outside of the United States, the UK or the EU, a variety of risks associated with international operations could adversely affect our business.</w:t>
      </w:r>
    </w:p>
    <w:p>
      <w:pPr>
        <w:spacing w:after="0" w:line="6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If any of our products are approved for commercialization, we have entered into, and intend to enter into, agreements with third parties to market them in certain jurisdictions outside the United States, the UK and the EU, such as under our Lilly Collaboration Agreement. We expect that we and our third-party collaborators will be subject to additional risks related to international pharmaceutical operations, including:</w:t>
      </w:r>
    </w:p>
    <w:p>
      <w:pPr>
        <w:spacing w:after="0" w:line="153" w:lineRule="exact"/>
        <w:rPr>
          <w:sz w:val="20"/>
          <w:szCs w:val="20"/>
          <w:color w:val="auto"/>
        </w:rPr>
      </w:pPr>
    </w:p>
    <w:p>
      <w:pPr>
        <w:ind w:left="1300" w:right="219" w:hanging="291"/>
        <w:spacing w:after="0" w:line="31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and biologic approvals and rules governing drug and biologic commercialization in foreign countries;</w:t>
      </w:r>
    </w:p>
    <w:p>
      <w:pPr>
        <w:spacing w:after="0" w:line="94"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data privacy and security and the collection and use of patient data;</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loss of protection for intellectual property rights;</w:t>
      </w:r>
    </w:p>
    <w:p>
      <w:pPr>
        <w:spacing w:after="0" w:line="21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30"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84" w:lineRule="exact"/>
        <w:rPr>
          <w:rFonts w:ascii="Times New Roman" w:cs="Times New Roman" w:eastAsia="Times New Roman" w:hAnsi="Times New Roman"/>
          <w:sz w:val="18"/>
          <w:szCs w:val="18"/>
          <w:color w:val="auto"/>
        </w:rPr>
      </w:pPr>
    </w:p>
    <w:p>
      <w:pPr>
        <w:ind w:left="1300" w:right="619" w:hanging="291"/>
        <w:spacing w:after="0" w:line="31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08" w:lineRule="exact"/>
        <w:rPr>
          <w:rFonts w:ascii="Times New Roman" w:cs="Times New Roman" w:eastAsia="Times New Roman" w:hAnsi="Times New Roman"/>
          <w:sz w:val="18"/>
          <w:szCs w:val="18"/>
          <w:color w:val="auto"/>
        </w:rPr>
      </w:pPr>
    </w:p>
    <w:p>
      <w:pPr>
        <w:ind w:left="1300" w:right="219" w:hanging="291"/>
        <w:spacing w:after="0" w:line="31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94" w:lineRule="exact"/>
        <w:rPr>
          <w:rFonts w:ascii="Times New Roman" w:cs="Times New Roman" w:eastAsia="Times New Roman" w:hAnsi="Times New Roman"/>
          <w:sz w:val="18"/>
          <w:szCs w:val="18"/>
          <w:color w:val="auto"/>
        </w:rPr>
      </w:pPr>
    </w:p>
    <w:p>
      <w:pPr>
        <w:ind w:left="1300" w:right="419" w:hanging="291"/>
        <w:spacing w:after="0" w:line="274"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widespread health emergencies, or natural disasters including earthquakes, typhoons, floods and fires, or from economic or political instability;</w:t>
      </w:r>
    </w:p>
    <w:p>
      <w:pPr>
        <w:spacing w:after="0" w:line="128"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with enforcing our contracts;</w:t>
      </w:r>
    </w:p>
    <w:p>
      <w:pPr>
        <w:spacing w:after="0" w:line="225" w:lineRule="exact"/>
        <w:rPr>
          <w:rFonts w:ascii="Times New Roman" w:cs="Times New Roman" w:eastAsia="Times New Roman" w:hAnsi="Times New Roman"/>
          <w:sz w:val="18"/>
          <w:szCs w:val="18"/>
          <w:color w:val="auto"/>
        </w:rPr>
      </w:pPr>
    </w:p>
    <w:p>
      <w:pPr>
        <w:ind w:left="1300" w:right="499" w:hanging="291"/>
        <w:spacing w:after="0" w:line="329"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the FCPA, the Bribery Act and similar anti-bribery and anticorruption laws in other jurisdictions;</w:t>
      </w:r>
    </w:p>
    <w:p>
      <w:pPr>
        <w:spacing w:after="0" w:line="94" w:lineRule="exact"/>
        <w:rPr>
          <w:rFonts w:ascii="Times New Roman" w:cs="Times New Roman" w:eastAsia="Times New Roman" w:hAnsi="Times New Roman"/>
          <w:sz w:val="18"/>
          <w:szCs w:val="18"/>
          <w:color w:val="auto"/>
        </w:rPr>
      </w:pPr>
    </w:p>
    <w:p>
      <w:pPr>
        <w:ind w:left="1300" w:right="879" w:hanging="291"/>
        <w:spacing w:after="0" w:line="313"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94" w:lineRule="exact"/>
        <w:rPr>
          <w:rFonts w:ascii="Times New Roman" w:cs="Times New Roman" w:eastAsia="Times New Roman" w:hAnsi="Times New Roman"/>
          <w:sz w:val="18"/>
          <w:szCs w:val="18"/>
          <w:color w:val="auto"/>
        </w:rPr>
      </w:pPr>
    </w:p>
    <w:p>
      <w:pPr>
        <w:ind w:left="1300" w:right="219" w:hanging="304"/>
        <w:spacing w:after="0" w:line="312" w:lineRule="auto"/>
        <w:tabs>
          <w:tab w:leader="none" w:pos="129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uncertainty in countries where labor unrest is more common than in the United States and compliance with tax, employment, immigration and labor laws for employees living or traveling abroad.</w:t>
      </w:r>
    </w:p>
    <w:p>
      <w:pPr>
        <w:spacing w:after="0" w:line="72"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8"/>
          <w:szCs w:val="18"/>
          <w:color w:val="auto"/>
        </w:rPr>
        <w:t>We have no prior experience in these areas and we may rely on other third parties to help us establish our international commercialization operations. In addition, there are complex regulatory, tax, labor and other legal requirements imposed by individual countries in Europe with which we and our third-party collaborators will need to comply. If we are unable to successfully manage the challenges of international expansion and operations, our business and operating results could be harmed.</w:t>
      </w:r>
    </w:p>
    <w:p>
      <w:pPr>
        <w:spacing w:after="0" w:line="12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59"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 other company’s product.</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outside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9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our GMP manufacturing facilities are unable to supply our product candidates for all of our current preclinical, clinical and potential commercial needs, including any anticipated third party supply obligations, we will be forced to seek out third-party manufacturers. We currently contract with third parties for the manufacture of plasmid used in producing product candidates. Relying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produce our product candidates in our GMP viral vector manufacturing facility in London, UK, and our second, large scale GMP viral vector manufacturing facility and our first GMP plasmid and DNA production facility in Shannon, Ireland. However, if our current facilities are damaged, suffer any form of delay or regulatory challenges, we experience slowdowns or problems with our facilities or we are unable to scale our internal manufacturing capabilities to meet demand for our product candidates, we will need to contract with third-party manufacturers to produce our product candidates. While we now have our own plasmid manufacturing capabilities in our Shannon, Ireland facilities, we also rely on third-party manufacturers for the manufacture of plasmid used in the production of certain product candidates. We do not have a long-term supply agreement with any of the third-party manufacturers, and we purchase our required supply on a purchase order basis.</w:t>
      </w:r>
    </w:p>
    <w:p>
      <w:pPr>
        <w:spacing w:after="0" w:line="18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also encounter difficulties or delays in manufacturing of our product candidates or the plasmid used in the production of our product candidates. Geopolitical actions, natural disaster or a widespread health emergency could impact our supply chain. To the extent that we or our third-party manufacturers are located in geographies affected by these matters, it may result in the temporary closing of manufacturing facilities and may increase the costs associated with manufacturing our product candidates.</w:t>
      </w:r>
    </w:p>
    <w:p>
      <w:pPr>
        <w:spacing w:after="0" w:line="183"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76" w:lineRule="exact"/>
        <w:rPr>
          <w:sz w:val="20"/>
          <w:szCs w:val="20"/>
          <w:color w:val="auto"/>
        </w:rPr>
      </w:pPr>
    </w:p>
    <w:p>
      <w:pPr>
        <w:ind w:left="1300" w:right="659" w:hanging="304"/>
        <w:spacing w:after="0" w:line="282" w:lineRule="auto"/>
        <w:tabs>
          <w:tab w:leader="none" w:pos="12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including failure to provide appropriate quantities in a timely manner;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539" w:hanging="291"/>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161" w:lineRule="exact"/>
        <w:rPr>
          <w:rFonts w:ascii="Times New Roman" w:cs="Times New Roman" w:eastAsia="Times New Roman" w:hAnsi="Times New Roman"/>
          <w:sz w:val="18"/>
          <w:szCs w:val="18"/>
          <w:color w:val="auto"/>
        </w:rPr>
      </w:pPr>
    </w:p>
    <w:p>
      <w:pPr>
        <w:ind w:left="1300" w:right="339" w:hanging="291"/>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w:t>
      </w:r>
    </w:p>
    <w:p>
      <w:pPr>
        <w:spacing w:after="0" w:line="162" w:lineRule="exact"/>
        <w:rPr>
          <w:sz w:val="20"/>
          <w:szCs w:val="20"/>
          <w:color w:val="auto"/>
        </w:rPr>
      </w:pPr>
    </w:p>
    <w:p>
      <w:pPr>
        <w:ind w:left="60" w:right="419" w:firstLine="648"/>
        <w:spacing w:after="0" w:line="256" w:lineRule="auto"/>
        <w:rPr>
          <w:sz w:val="20"/>
          <w:szCs w:val="20"/>
          <w:color w:val="auto"/>
        </w:rPr>
      </w:pPr>
      <w:r>
        <w:rPr>
          <w:rFonts w:ascii="Times New Roman" w:cs="Times New Roman" w:eastAsia="Times New Roman" w:hAnsi="Times New Roman"/>
          <w:sz w:val="18"/>
          <w:szCs w:val="18"/>
          <w:color w:val="auto"/>
        </w:rPr>
        <w:t>We and our third-party manufacturers may not be able to comply with GMP regulations or similar regulatory requirements that might be required by the FDA, MHRA or EMA.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adversely affect supplies of our candidates and harm our business, financial condition, results of operations, and prospects.</w:t>
      </w:r>
    </w:p>
    <w:p>
      <w:pPr>
        <w:spacing w:after="0" w:line="18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Any therapies that we may develop may compete with other product candidates and products for access to manufacturing facilities. There are a limited number of manufacturers that operate under GMP or similar regulations and that might be capable of manufacturing for us. Any performance failure on the part of our existing or future manufacturers could delay clinical development or marketing approval.</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product candidates we may develop or any components required for the manufacture of our product candidates may adversely affect our future profit margins and our ability to commercialize any product candidates that receive marketing approval on a timely and competitive basis.</w:t>
      </w:r>
    </w:p>
    <w:p>
      <w:pPr>
        <w:spacing w:after="0" w:line="176" w:lineRule="exact"/>
        <w:rPr>
          <w:sz w:val="20"/>
          <w:szCs w:val="20"/>
          <w:color w:val="auto"/>
        </w:rPr>
      </w:pPr>
    </w:p>
    <w:p>
      <w:pPr>
        <w:ind w:left="60" w:right="6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collaborate with third parties for the development, manufacture and commercialization of our product candidates. We may not succeed in establishing and maintaining collaborative relationships, which may significantly limit our ability to develop and commercialize our product candidates successfully, if at all.</w:t>
      </w:r>
    </w:p>
    <w:p>
      <w:pPr>
        <w:spacing w:after="0" w:line="180"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collaboration agreements with third parties for the development and commercialization of our product candidates, including the Lilly Collaboration Agreement for the development and commercialization of AAV-AIPL1 and two other preclinical product candidates which are intended to treat other inherited retinal dystrophies. In addition, in October 2023 we provided Sanofi and its affiliates with a right of first negotiation for use of our riboswitch gene regulation technology for certain Immunology and Inflammation (I&amp;I), including modulation of IL-4 and IL-13, and Central Nervous System (CNS) targets, as well as for GLP-1 and other gut peptides for metabolic disease, and for our Phase 2 xerostomia program, under the Investment Agreement. We also completed the initial closing of our strategic collaboration with Hologen in April 2026 as described above. We may seek additional collaborative relationships in the future. Failure to obtain a collaborative relationship for our product candidates may significantly impair their commercial potential. We also may need to enter into collaborative relationships to provide funding to support our other research and development programs. The process of establishing and maintaining collaborative relationships is difficult, time-consuming and involves significant uncertainty, such as:</w:t>
      </w:r>
    </w:p>
    <w:p>
      <w:pPr>
        <w:spacing w:after="0" w:line="190" w:lineRule="exact"/>
        <w:rPr>
          <w:sz w:val="20"/>
          <w:szCs w:val="20"/>
          <w:color w:val="auto"/>
        </w:rPr>
      </w:pPr>
    </w:p>
    <w:p>
      <w:pPr>
        <w:ind w:left="1300" w:right="299" w:hanging="291"/>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shift its priorities and resources away from our product candidates due to a change in business strategies, or a merger, acquisition, sale or downsizing;</w:t>
      </w:r>
    </w:p>
    <w:p>
      <w:pPr>
        <w:spacing w:after="0" w:line="161" w:lineRule="exact"/>
        <w:rPr>
          <w:rFonts w:ascii="Times New Roman" w:cs="Times New Roman" w:eastAsia="Times New Roman" w:hAnsi="Times New Roman"/>
          <w:sz w:val="18"/>
          <w:szCs w:val="18"/>
          <w:color w:val="auto"/>
        </w:rPr>
      </w:pPr>
    </w:p>
    <w:p>
      <w:pPr>
        <w:ind w:left="1300" w:right="359" w:hanging="291"/>
        <w:spacing w:after="0" w:line="26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175" w:lineRule="exact"/>
        <w:rPr>
          <w:rFonts w:ascii="Times New Roman" w:cs="Times New Roman" w:eastAsia="Times New Roman" w:hAnsi="Times New Roman"/>
          <w:sz w:val="18"/>
          <w:szCs w:val="18"/>
          <w:color w:val="auto"/>
        </w:rPr>
      </w:pPr>
    </w:p>
    <w:p>
      <w:pPr>
        <w:ind w:left="1300" w:right="179" w:hanging="291"/>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cease development in therapeutic areas which are the subject of our strategic collaboration;</w:t>
      </w:r>
    </w:p>
    <w:p>
      <w:pPr>
        <w:spacing w:after="0" w:line="16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not devote sufficient capital or resources towards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619" w:hanging="291"/>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change the success criteria for a product candidate thereby delaying or ceasing development of such candidate;</w:t>
      </w:r>
    </w:p>
    <w:p>
      <w:pPr>
        <w:spacing w:after="0" w:line="161" w:lineRule="exact"/>
        <w:rPr>
          <w:rFonts w:ascii="Times New Roman" w:cs="Times New Roman" w:eastAsia="Times New Roman" w:hAnsi="Times New Roman"/>
          <w:sz w:val="18"/>
          <w:szCs w:val="18"/>
          <w:color w:val="auto"/>
        </w:rPr>
      </w:pPr>
    </w:p>
    <w:p>
      <w:pPr>
        <w:ind w:left="1300" w:right="559" w:hanging="291"/>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175" w:lineRule="exact"/>
        <w:rPr>
          <w:rFonts w:ascii="Times New Roman" w:cs="Times New Roman" w:eastAsia="Times New Roman" w:hAnsi="Times New Roman"/>
          <w:sz w:val="18"/>
          <w:szCs w:val="18"/>
          <w:color w:val="auto"/>
        </w:rPr>
      </w:pPr>
    </w:p>
    <w:p>
      <w:pPr>
        <w:ind w:left="1300" w:right="559" w:hanging="291"/>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could develop a product that competes, either directly or indirectly, with our product candidate;</w:t>
      </w:r>
    </w:p>
    <w:p>
      <w:pPr>
        <w:spacing w:after="0" w:line="161" w:lineRule="exact"/>
        <w:rPr>
          <w:rFonts w:ascii="Times New Roman" w:cs="Times New Roman" w:eastAsia="Times New Roman" w:hAnsi="Times New Roman"/>
          <w:sz w:val="18"/>
          <w:szCs w:val="18"/>
          <w:color w:val="auto"/>
        </w:rPr>
      </w:pPr>
    </w:p>
    <w:p>
      <w:pPr>
        <w:ind w:left="1300" w:right="679" w:hanging="291"/>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with commercialization obligations may not commit sufficient financial or human resources to the marketing, distribution or sale of a product;</w:t>
      </w:r>
    </w:p>
    <w:p>
      <w:pPr>
        <w:spacing w:after="0" w:line="161" w:lineRule="exact"/>
        <w:rPr>
          <w:rFonts w:ascii="Times New Roman" w:cs="Times New Roman" w:eastAsia="Times New Roman" w:hAnsi="Times New Roman"/>
          <w:sz w:val="18"/>
          <w:szCs w:val="18"/>
          <w:color w:val="auto"/>
        </w:rPr>
      </w:pPr>
    </w:p>
    <w:p>
      <w:pPr>
        <w:ind w:left="1300" w:right="179" w:hanging="291"/>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with manufacturing responsibilities may encounter regulatory, resource or quality issues and be unable to meet demand requirements;</w:t>
      </w:r>
    </w:p>
    <w:p>
      <w:pPr>
        <w:spacing w:after="0" w:line="16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terminate a strategic alliance;</w:t>
      </w:r>
    </w:p>
    <w:p>
      <w:pPr>
        <w:spacing w:after="0" w:line="225" w:lineRule="exact"/>
        <w:rPr>
          <w:rFonts w:ascii="Times New Roman" w:cs="Times New Roman" w:eastAsia="Times New Roman" w:hAnsi="Times New Roman"/>
          <w:sz w:val="18"/>
          <w:szCs w:val="18"/>
          <w:color w:val="auto"/>
        </w:rPr>
      </w:pPr>
    </w:p>
    <w:p>
      <w:pPr>
        <w:ind w:left="1300" w:right="599" w:hanging="291"/>
        <w:spacing w:after="0" w:line="261"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may arise between us and a partner concerning the research, development or commercialization of a product candidate resulting in a delay in milestones, royalty payments or termination of an alliance and possibly resulting in costly litigation or arbitration which may divert management attention and resources; and</w:t>
      </w:r>
    </w:p>
    <w:p>
      <w:pPr>
        <w:spacing w:after="0" w:line="179" w:lineRule="exact"/>
        <w:rPr>
          <w:rFonts w:ascii="Times New Roman" w:cs="Times New Roman" w:eastAsia="Times New Roman" w:hAnsi="Times New Roman"/>
          <w:sz w:val="18"/>
          <w:szCs w:val="18"/>
          <w:color w:val="auto"/>
        </w:rPr>
      </w:pPr>
    </w:p>
    <w:p>
      <w:pPr>
        <w:ind w:left="1300" w:right="479" w:hanging="291"/>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use our products or technology in such a way as to make us subject to litigation with a third party.</w:t>
      </w:r>
    </w:p>
    <w:p>
      <w:pPr>
        <w:spacing w:after="0" w:line="16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product candidates, undertake development and commercialization activities at our own expense or find alternative sources of capital.</w:t>
      </w:r>
    </w:p>
    <w:p>
      <w:pPr>
        <w:spacing w:after="0" w:line="185" w:lineRule="exact"/>
        <w:rPr>
          <w:sz w:val="20"/>
          <w:szCs w:val="20"/>
          <w:color w:val="auto"/>
        </w:rPr>
      </w:pPr>
    </w:p>
    <w:p>
      <w:pPr>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relied, and we expect to continue to rely, on third parties to conduct, supervise and monitor our preclinical studies and clinical trials, and if these third parties perform in an unsatisfactory manner, our business could be harmed.</w:t>
      </w:r>
    </w:p>
    <w:p>
      <w:pPr>
        <w:spacing w:after="0" w:line="13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expect to rely on CROs, clinical trial sites, and other vendors to ensure our preclinical studies and clinical trials are conducted properly and on time. We may also engage third parties such as clinical data management organizations, medical institutions and clinical investigators to conduct or assist in our clinical trials or other preclinical and clinical research and development work. While we will have agreements governing their activities, we will have limited influence over their actual performance. We will control only certain aspects of our third-party service providers’ activities. Nevertheless, we will be responsible for ensuring that each of our preclinical studies and clinical trials is conducted in accordance with applicable protocol, legal, quality, regulatory and scientific standards, including among other things, GCP requirements for clinical trials and good laboratory practice requirements for certain preclinical studies. Our reliance on these third parties does not relieve us of our regulatory responsibilities. For example, we are conducting the Phase 2 AQUAx2 clinical trial of AAV-hAQP1 for the treatment of patients with radiation-induced xerostomia at multiple clinical trial sites in North America and the United Kingdom. If any locations terminate the clinical trial, we may be required to find another party to conduct any new trials. We may be unable to find a new party to conduct new trials of our product candidates or obtain clinical supply of our product candidates or AAV vectors for such trials. If we elect to internalize some or all activities related to the conduct of our preclinical studies or clinical trials that are currently performed by our third-party service providers, or if we are required to do so due to a service provider’s termination of our relationship, then we may be required to source additional technology and personnel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order to perform the relevant activities. We may be unsuccessful in our efforts to internalize some or all relevant activities, either on the desired timeline or at all.</w:t>
      </w:r>
    </w:p>
    <w:p>
      <w:pPr>
        <w:spacing w:after="0" w:line="16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third-party service providers are not our employees, and therefore we may be unable to directly monitor whether or not they devote sufficient time, attention, expertise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or fail to meet expected deadlines, or if the quality or accuracy of the preclinical or clinical data they obtain is compromised due to the failure to adhere to our clinical protocols or regulatory requirements, or for any other reasons, our preclinical studies or clinical trials may be extended, delayed or terminated, and we may not be able to obtain regulatory approval for, or successfully commercialize our product candidates. As a result, our financial results and the commercial prospects for our product candidates could be harmed, our costs could increase, and our ability to generate revenues could be delayed.</w:t>
      </w:r>
    </w:p>
    <w:p>
      <w:pPr>
        <w:spacing w:after="0" w:line="19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our relationship with any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proprietary technology licensed from others. If we lose our existing licenses or are unable to acquire or license additional proprietary rights from third parties, we may not be able to continue developing our product candidates.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currently in-license certain intellectual property from research institutions, universities and other third parties. We may also enter into additional agreements, including license agreements, with other parties in the future that impose diligence, development and commercialization timelines, milestone payments, royalties, insurance and other obligations on us. If we fail to comply with our obligations to any of our current or future collaborators, our counterparties may have the right to terminate these agreements, in which event we might not be able to develop, manufacture or market any product candidate that is covered by these agreements, which could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may rely on other third parties from whom we license proprietary technology to file and prosecute patent applications and maintain patents and otherwise protect the intellectual property we license from them. We may have limited control over these activities or any other intellectual property that may be related to our in-licensed intellectual property. For example, we cannot be certain that such activities by these licensors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may be licensed to us. It is possible that the licensors’ infringement proceedings or defense activities may be less vigorous than if we conduct them ourselves.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we will be able to successfully complete such negotiations and ultimately acquire the rights to the intellectual property surrounding the additional product candidates that we may seek to acquire.</w:t>
      </w:r>
    </w:p>
    <w:p>
      <w:pPr>
        <w:spacing w:after="0" w:line="158" w:lineRule="exact"/>
        <w:rPr>
          <w:sz w:val="20"/>
          <w:szCs w:val="20"/>
          <w:color w:val="auto"/>
        </w:rPr>
      </w:pPr>
    </w:p>
    <w:p>
      <w:pPr>
        <w:jc w:val="both"/>
        <w:ind w:left="100" w:right="3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for our technology and product candidates or if the scope of the patent protection obtained is not sufficiently broad, we may not be able to compete effectively in our markets.</w:t>
      </w:r>
    </w:p>
    <w:p>
      <w:pPr>
        <w:spacing w:after="0" w:line="13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proprietary technologies, product candidate development programs and product candidates. Our success depends in part on our ability to secure and maintain patent protection in the United States and other countries with respect to our current product candidates and any future product candidates we may develop. We seek to protect our proprietary position by filing or collaborating with our licensors to file patent applications in the United States and abroad related to our proprietary technologies, development programs and product candidates. The patent prosecution process is expensive and time-consuming, and we may not be able to file and prosecute all necessary or desirable patent applications at a reasonable cost or in a timely manner. Moreover, the issuance, scope, validity, enforceability and commercial value of our patent rights are uncertain.</w:t>
      </w:r>
    </w:p>
    <w:p>
      <w:pPr>
        <w:spacing w:after="0" w:line="188"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It is also possible that we might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Therefore, these patents and patent applications may not be prosecuted and enforced in a manner consistent with the best interests of our business. The patent applications that we own or in-license may fail to result in issued patents with claims that cover our proprietary products and technology, including current product candidates, any future product candidates we may develop, and our gene regulation technology in the United States or in other countries, in whole or in part. Alternately, our existing patents and any future patents we obtain may not be sufficiently broad to prevent others from using our technology or from developing competing products and technologies. There is no assurance that all potentially relevant prior art relating to our patents and patent applications has been found, which can prevent a patent from issuing from a pending patent application or later invalidate or narrow the scope of an issued patent.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In addition, 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Even if patents do successfully issue and even if such patents cover our current product candidates, any future product candidates we may develop and our gene regulation technology, third parties may challenge their validity, enforceability or scope thereof, which may result in such patents being narrowed, invalidated, or held unenforceable. Any successful challenge to these patents or any other patents owned by or licensed to us could deprive us of rights necessary for the successful commercialization of any of our product candidates or gene regulation technology. Our competitors may be able to circumvent our patents by developing similar or alternative product candidates in a non-infringing manner. Further, if we encounter delays in regulatory approvals, the period of time during which we could market a product candidate and our gene regulation technology under patent protection could be reduced.</w:t>
      </w:r>
    </w:p>
    <w:p>
      <w:pPr>
        <w:spacing w:after="0" w:line="110"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If the patent applications we hold or have in-licensed with respect to our development programs and product candidates fail to issue, if their validity, breadth or strength of protection is threatened, or if they fail to provide meaningful exclusivity for any of our current or future product candidates or technology, it could dissuade companies from collaborating with us to develop product candidates, encourage competitors to develop competing products or technologies and threaten our ability to commercialize future product candidates. Any such outcome could harm our business.</w:t>
      </w:r>
    </w:p>
    <w:p>
      <w:pPr>
        <w:spacing w:after="0" w:line="73"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is uncertain, involves complex legal and factual questions, and is characterized by the existence of large numbers of patents and frequent litigation based on allegations of patent or other intellectual property infringement or violation. In addition, the laws of jurisdictions outside the United States may not protect our rights to the same extent as the laws of the United States. Changes in either the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patent laws or interpretation of the patent laws in the United States and other countries may diminish the value of our patents or narrow the scope of our patent protection.</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Thus, even if our patent applications issue as patents, they may not issue in a form that will provide us with meaningful protection, prevent competitors from competing with us or otherwise provide us with any competitive advantage. Moreover, patents have a limited lifespan. In the United States, the natural expiration of a patent is generally 20 years after it is filed. Various extensions may be available; however, the life of a patent, and the protection it affords, is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93"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our product candidates, prohibit our use of proprietary technology or sale of products or put our patents and other proprietary rights at risk.</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in part, upon our ability to develop, manufacture, market and sell our product candidates without alleged or actual infringement, misappropriation or other violation of the patents and proprietary rights of third parties. However, our research, development and commercialization activities may be subject to claims that we infringe or otherwise violate patents or other intellectual property rights owned or controlled by third parties. Litigation relating to infringement or misappropriation of patent and other intellectual property rights in the pharmaceutical and biotechnology industries is common,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reexamination proceedings before the U.S. Patent and Trademark Office, or USPTO, and corresponding foreign patent offices. In addition, many companies in intellectual property-dependent industries, including the biotechnology and pharmaceutical industries, have employed intellectual property litigation as a means to gain an advantage over their competitors. Numerous U.S., EU and foreign issued patents and pending patent applications, which are owned by third parties, exist in the fields in which we are developing product candidates, and as the biotechnology and pharmaceutical industries expand and more patents are issued, the risk increases that our product candidates may be subject to claims of infringement of the intellectual property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19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may be subject to third-party claims including infringement, interference or derivation proceedings,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or similar adversarial proceedings or litigation in other jurisdictions. Even if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In addition, third parties may obtain patents in the future and claim that use of our technologies infringes upon these patents, and the holders of any such patents may be able to prohibit our use of those compositions, formulations, methods of treatment, prevention or use or other technologies, effectively blocking our ability to develop and commercialize the applicable product candidate until such patent expires or is finally determined to be invalid or unenforceable or unless we obtained a license.</w:t>
      </w:r>
    </w:p>
    <w:p>
      <w:pPr>
        <w:spacing w:after="0" w:line="194" w:lineRule="exact"/>
        <w:rPr>
          <w:sz w:val="20"/>
          <w:szCs w:val="20"/>
          <w:color w:val="auto"/>
        </w:rPr>
      </w:pPr>
    </w:p>
    <w:p>
      <w:pPr>
        <w:jc w:val="both"/>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In addition, defending such claims would cause us to incur substantial expenses and, if we are not successful in defending such claims, it could cause us to pay substantial damages if we are found to be infringing a third party’s patent rights. These damages potentially include increased damages (possibly treble damages) and attorneys’ fees if we are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found to have infringed such rights willfully. 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also be forced to redesign or modify our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9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other intellectual property. If we or one of our licensors were to initiate legal proceedings against a third party to enforce a patent covering one of our product candidates, the defendant could counterclaim that our patent is invalid or unenforceable. If a defendant were to prevail on a legal assertion of invalidity or unenforceability, we would lose at least part, and perhaps all, of the patent protection on our product candidates.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190" w:lineRule="exact"/>
        <w:rPr>
          <w:sz w:val="20"/>
          <w:szCs w:val="20"/>
          <w:color w:val="auto"/>
        </w:rPr>
      </w:pPr>
    </w:p>
    <w:p>
      <w:pPr>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13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the UK, the EU and elsewhere that is relevant to or necessary for the commercialization of our product candidates in any jurisdiction. For example, in the United States, applications filed before November 29, 2000 and certain applications filed after that date that will not be filed outside the United States remain confidential until patents issue. Patent applications in the United States, the UK, the EU and elsewhere are published approximately 18 months after the earliest filing for which priority is claimed, with such earliest filing date being commonly referred to as the priority date. Therefore, patent applications covering our product candidates could be filed by others without our knowledge. Additionally, pending patent applications that have been published can, 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the UK, the EU or elsewhere that we consider relevant may be incorrect, which may negatively impact our ability to develop and market our product candidates.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failure to identify and correctly interpret relevant patents may negatively impact our ability to develop and market our product candidates.</w:t>
      </w:r>
    </w:p>
    <w:p>
      <w:pPr>
        <w:spacing w:after="0" w:line="16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might, if possible, also be forced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our business.</w:t>
      </w:r>
    </w:p>
    <w:p>
      <w:pPr>
        <w:spacing w:after="0" w:line="18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5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Obtaining and enforcing patents in the biotechnology and genetic medicine industries involve both technological complexity and legal complexity. In addition, the Leahy-Smith America Invents Act, or the AIA, which was passed in September 2011, resulted in significant changes to the U.S. patent system.</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This will require us to be cognizant of the time from invention to filing of a patent application and diligent in filing patent applications, but circumstances could prevent us from promptly filing patent applications on our inventions.</w:t>
      </w:r>
    </w:p>
    <w:p>
      <w:pPr>
        <w:spacing w:after="0" w:line="18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addition, a third party may attempt to use the USPTO procedures to invalidate our patent claims that would not have been invalidated if first challenged by the third party as a defendant in a district court action because of a lower evidentiary standard in USPTO proceedings compared to the evidentiary standard in U.S. federal courts necessary to invalidate a patent claim. An adverse determination in any such proceeding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that may be important for our business.</w:t>
      </w:r>
    </w:p>
    <w:p>
      <w:pPr>
        <w:spacing w:after="0" w:line="190"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we may not be able to protect our intellectual property rights throughout the world.</w:t>
      </w:r>
    </w:p>
    <w:p>
      <w:pPr>
        <w:spacing w:after="0" w:line="159"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Filing, prosecuting and defending patents covering our product candidates in all countries throughout the world would be prohibitively expensive, and our intellectual property rights in some countries outside the United States can be less extensive than those in the United States. In-licensing patents covering our product candidates in all countries throughout the world may similarly be prohibitively expensive, if such opportunities are available at all. And in-</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the UK or the EU. These products may compete with our product candidates, and our or our licensors’ patents or other intellectual property rights may not be effective or sufficient to prevent them from competing.</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regulations in the United States, the UK and the EU,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 Proceedings to enforce our patent rights in foreign jurisdictions, whether or not successful, are likely to result in substantial costs and divert our efforts and attention from other aspects of our business, and additionally could put at risk our or our licensors’ patents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or the efforts of our licensors or collaborators, to enforce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59"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medications, including generic medications.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169"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harmed.</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 In the UK and the EU, our product candidates may be eligible for term extensions based on similar legislation. In each of these jurisdictions,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essentially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shortened and our competitors may obtain approval to market competing products sooner. The resulting reduction in revenue from applicable products could be substantial.</w:t>
      </w:r>
    </w:p>
    <w:p>
      <w:pPr>
        <w:spacing w:after="0" w:line="158"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and product candidates, and do not necessarily address all potential threats to our competitive advantage.</w:t>
      </w:r>
    </w:p>
    <w:p>
      <w:pPr>
        <w:spacing w:after="0" w:line="15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6" w:lineRule="exact"/>
        <w:rPr>
          <w:sz w:val="20"/>
          <w:szCs w:val="20"/>
          <w:color w:val="auto"/>
        </w:rPr>
      </w:pPr>
    </w:p>
    <w:p>
      <w:pPr>
        <w:ind w:left="1300" w:right="419" w:hanging="291"/>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1300" w:right="419" w:hanging="291"/>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w:t>
      </w:r>
    </w:p>
    <w:p>
      <w:pPr>
        <w:spacing w:after="0" w:line="179" w:lineRule="exact"/>
        <w:rPr>
          <w:rFonts w:ascii="Times New Roman" w:cs="Times New Roman" w:eastAsia="Times New Roman" w:hAnsi="Times New Roman"/>
          <w:sz w:val="18"/>
          <w:szCs w:val="18"/>
          <w:color w:val="auto"/>
        </w:rPr>
      </w:pPr>
    </w:p>
    <w:p>
      <w:pPr>
        <w:ind w:left="1300" w:right="419" w:hanging="291"/>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other collaboration partners might not have been the first to conceive and reduce to practice the inventions covered by the patents or patent applications that we own, license or will own or license;</w:t>
      </w:r>
    </w:p>
    <w:p>
      <w:pPr>
        <w:spacing w:after="0" w:line="175" w:lineRule="exact"/>
        <w:rPr>
          <w:rFonts w:ascii="Times New Roman" w:cs="Times New Roman" w:eastAsia="Times New Roman" w:hAnsi="Times New Roman"/>
          <w:sz w:val="18"/>
          <w:szCs w:val="18"/>
          <w:color w:val="auto"/>
        </w:rPr>
      </w:pPr>
    </w:p>
    <w:p>
      <w:pPr>
        <w:ind w:left="1300" w:right="179" w:hanging="291"/>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other collaboration partners might not have been the first to file patent applications covering certain of the patents or patent applications that we or they own or have obtained a license, or will own or will have obtained a license;</w:t>
      </w:r>
    </w:p>
    <w:p>
      <w:pPr>
        <w:spacing w:after="0" w:line="175" w:lineRule="exact"/>
        <w:rPr>
          <w:rFonts w:ascii="Times New Roman" w:cs="Times New Roman" w:eastAsia="Times New Roman" w:hAnsi="Times New Roman"/>
          <w:sz w:val="18"/>
          <w:szCs w:val="18"/>
          <w:color w:val="auto"/>
        </w:rPr>
      </w:pPr>
    </w:p>
    <w:p>
      <w:pPr>
        <w:ind w:left="1300" w:right="399" w:hanging="291"/>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may fail to meet obligations to the U.S. government with respect to in-licensed patents and patent applications funded by U.S. government grants, leading to the loss of patent rights;</w:t>
      </w:r>
    </w:p>
    <w:p>
      <w:pPr>
        <w:spacing w:after="0" w:line="161" w:lineRule="exact"/>
        <w:rPr>
          <w:rFonts w:ascii="Times New Roman" w:cs="Times New Roman" w:eastAsia="Times New Roman" w:hAnsi="Times New Roman"/>
          <w:sz w:val="18"/>
          <w:szCs w:val="18"/>
          <w:color w:val="auto"/>
        </w:rPr>
      </w:pPr>
    </w:p>
    <w:p>
      <w:pPr>
        <w:ind w:left="1300" w:right="179" w:hanging="291"/>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exclusively license may not provide us with any competitive advantage, or may be held invalid or unenforceable, as a result of legal challenges by our competitors; and</w:t>
      </w:r>
    </w:p>
    <w:p>
      <w:pPr>
        <w:spacing w:after="0" w:line="161" w:lineRule="exact"/>
        <w:rPr>
          <w:rFonts w:ascii="Times New Roman" w:cs="Times New Roman" w:eastAsia="Times New Roman" w:hAnsi="Times New Roman"/>
          <w:sz w:val="18"/>
          <w:szCs w:val="18"/>
          <w:color w:val="auto"/>
        </w:rPr>
      </w:pPr>
    </w:p>
    <w:p>
      <w:pPr>
        <w:ind w:left="1300" w:right="359" w:hanging="291"/>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76"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our trade secrets will be misappropriated or disclosed, and confidentiality agreements with employees and third parties may not adequately prevent disclosure of trade secrets and protect other proprietary information.</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consider proprietary trade secrets, confidential know-how and unpatented know-how to be important to our business. We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have relied in the past on third parties to manufacture our product candidates, because we may continue to do so in the future, and because we expect to collaborate with third parties on the development of our current product candidates and any future product candidates we develop, we may, at times, share trade secrets with them. We also conduct joint research and development programs that may require us to share trade secrets under the terms of our research and development partnerships or similar agreements. Under such circumstances, trade secrets and confidential know-how can be difficult to maintain as confidential.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may also be subject to claims that our employees, consultants or independent contractors have wrongfully used or disclosed confidential information of their former employers or other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and/or confidential know-how is expensive, time consuming and unpredictable, and the enforceability of confidentiality agreements may vary from jurisdiction to jurisdiction. Courts outside the United States are sometimes less willing to protect proprietary information, technology and know-how.</w:t>
      </w:r>
    </w:p>
    <w:p>
      <w:pPr>
        <w:spacing w:after="0" w:line="189"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If our trademarks and trade names are not adequately protected, then we may not be able to build name recognition in our markets of interest and our business may be adversely affected. Our trademark MeiraGTx is the subject of registrations in the EU, UK and United States.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intellectual property from third parties, and such intellectual property may not be available or may not be available on commercially reasonable terms.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product candidates or equipment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compositions and pre-existing pharmaceutical compositions. These pharmaceutical products may be covered by intellectual property rights held by others. We may be required by the FDA, MHRA, EMA or other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Organization</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increase or decrease the size of our organization, and we may experience difficulties in managing those organizational changes, which could disrupt our operations.</w:t>
      </w:r>
    </w:p>
    <w:p>
      <w:pPr>
        <w:spacing w:after="0" w:line="15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As of March 31, 2026, we had 409 employees. If we seek to expand our organization,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or strategic opportunities related to our assets, loss of employees and reduced productivity among remaining employees. Our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potential ability to generate revenue could be reduced and we may not be able to implement our business strategy. Many of the biotechnology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 Alternatively, if we seek to decrease the number of employees in our organization in the future in response to adverse business events, it may lead to additional unanticipated attrition. If our future staffing is inadequate because of additional unanticipated attrition or because we failed to retain the staffing level required to accomplish our business objectives, we may be delayed or unable to continue the development of our product candidates, which could impede our ability to generate revenues and achieve or maintain profitability.</w:t>
      </w:r>
    </w:p>
    <w:p>
      <w:pPr>
        <w:spacing w:after="0" w:line="20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personnel and to attract, retain and motivate qualified personnel.</w:t>
      </w:r>
    </w:p>
    <w:p>
      <w:pPr>
        <w:spacing w:after="0" w:line="15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Alexandria Forbes, Ph.D., our President and Chief Executive Officer, Rich Giroux, our Chief Operating Officer and Chief Financial Officer and the other executive officers and principal members of our management, scientific and clinical teams. Although we have formal employment agreements with certain of our executive officers, these agreements do not prevent them from terminating their employment with us at any time and, for certain of our executive officers, entitle them to receive severance payments in connection with their voluntary resignation of employment.</w:t>
      </w:r>
    </w:p>
    <w:p>
      <w:pPr>
        <w:spacing w:after="0" w:line="189"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If we lose one or more of our executive officers or key employees, our ability to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Competition to hire from this limited pool is intense, and we may be unable to hire, train, retain or motivate these additional key personnel on acceptable terms given the competition among numerous pharmaceutical and biotechnology companies for similar personnel.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15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In addition, regardless of merit or eventual outcome, product liability claims may result in:</w:t>
      </w:r>
    </w:p>
    <w:p>
      <w:pPr>
        <w:spacing w:after="0" w:line="187" w:lineRule="exact"/>
        <w:rPr>
          <w:sz w:val="20"/>
          <w:szCs w:val="20"/>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participants from our clinical trials;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costs and diversion of management resources to defend the related litigation;</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our product candidates;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 and</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1"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clinical product and clinical trial liability, employment practices liability, property, transit, auto, workers’ compensation, umbrella, cyber and directors’ and officers’ insurance. Any additional product liability insurance coverage we acquire in the future may not be sufficient to reimburse us for any expenses or losses we may suffer. Moreover, insurance coverage is becoming increasingly expensive and restrictive, and in the future we may not be able to maintain insurance coverage at a reasonable cost or in sufficient amounts to protect us against losses due to liability. If we obtain marketing approval for our product candidates or manufacture commercial products for third parties, we intend to acquire insurance coverage to include, as necessary, the sale, manufacture and supply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9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Operating as a public company may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If we are unable to maintain existing insurance with adequate levels of coverage, any significant uninsured liability may require us to pay substantial amounts, which would adversely affect our cash position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consultants, vendors, and any third parties we may engage in connection with development and commercialization may engage in misconduct or other improper activities, including noncompliance with regulatory standards and requirements, which could harm our business.</w:t>
      </w:r>
    </w:p>
    <w:p>
      <w:pPr>
        <w:spacing w:after="0" w:line="175"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Misconduct by our employees and independent contractors, including consultants, vendors, and any third parties we may engage in connection with development and commercialization, could include intentional, reckless or negligent conduct or unauthorized activities that violate: (i) applicable laws and regulations of the FDA, MHRA, EMA and other regulatory or governmental authorities, including those laws that require the reporting of true, complete and accurate information to such authorities; (ii) manufacturing standards; (iii) data privacy and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1"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system failures and our systems and those of our business partners and service providers may be vulnerable to cybersecurity risks.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information technology, or IT, systems, including manufacturing systems, as well as those of our business partners and service providers, are vulnerable to damage from computer viruses, unauthorized access, hardware and software failures, natural disasters, terrorism, war and telecommunication and electrical failures. If such an event were to occur, it could result in a material disruption of our product candidate development programs or manufacturing operations. For example, the loss of preclinical study or clinical trial data from completed, ongoing or planned trials could result in delays in our regulatory approval efforts and significantly increase our costs to recover or reproduce the data. A significant interruption to our manufacturing operations could delay the completion of clinical trials and increase the costs of those trials, or impede our ability to meet any anticipated third party supply obligations. To the extent that any disruption or security breach were to result in a loss of or damage to our data or applications, or inappropriate disclosure of personal,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our business partners and our service providers collect, process and store sensitive data, including intellectual property, clinical trial data, proprietary business information, personal data and personally identifiable information of our clinical trial subjects and employees. The secure processing, maintenance and transmission of this information is critical to our operations. Increased cybersecurity threats pose a risk to this information, in addition to our and our business partners’ and service providers’ systems and networks. Cybersecurity threats including state-sponsored attacks, ransomware, phishing, insider threats, supply chain compromises, and vulnerabilities in cloud-based services, are increasing in frequency, sophistication, persistence and severity. Attackers, ranging from criminal organizations to nation-state actors, may target our systems for financial, competitive, or political motives. We may also face increased cybersecurity risks due to our reliance on internet technology and by allowing some of our employees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our security measures, our IT and infrastructure may be vulnerable to cyber-attacks by hackers or internal bad actors, or breached due to employee error, a technical vulnerability, malfeasance or other disruptions that could have a negative impact, including loss or destruction of data, including confidential or critical business information. In addition, there can be no assurance that our cybersecurity risk management program and processes, including our policies, controls or procedures, will be fully effective in protecting our systems and information. Although, to our knowledge, we have not experienced any such material security breach to date, we may experience cybersecurity incidents such as malware infections, ransomware, phishing attempts, thefts of personal, confidential, proprietary or other critical business information and other attempts at compromising our IT that are typical for a company of our size in our market. Any security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significant regulatory penalties, and such an event could disrupt our operations, damage our reputation, result in significant expenses in implementing future security measures and cause a loss of confidence in us and our ability to conduct clinical trials, which could adversely affect our reputation and financial results, and delay clinical development of our product candidates.</w:t>
      </w:r>
    </w:p>
    <w:p>
      <w:pPr>
        <w:spacing w:after="0" w:line="19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or anticipated use of new and evolving technologies, such as artificial intelligence (“AI”), by us or third parties may increase or create new operational risks.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have in the past and will in the future integrate new and evolving technologies, such as AI, into our business. AI technologies offer numerous potential benefits, such as creating or increasing operational efficiencies, and we expect an increase in the use of AI and generative AI by us, third parties on our behalf, and other market actors, including our competitors. For example, as part of our strategic collaboration, Hologen will contribute its proprietary multi-modal generative AI foundation models (LMMs) to the joint venture to develop the Clinical Programs and the Delivery Device, as well as deploy their AI capabilities to further accelerate the optimization of our proprietary manufacturing capabilities. However, the deployment of such technologies also poses certain risks, including that the algorithms may be flawed, misused or otherwise function in an unexpected manner; data sets may be insufficient, of poor quality, or contain biased information; and inappropriate or controversial data practices by data scientists, engineers, and end-users could impair results. In addition, use of personal data in generative AI technologies is subject to various privacy laws and other privacy obligations in certain jurisdictions. Governments have passed and may pass additional laws regulating generative AI. The introduction of AI technologies into our operations may potentially result in new or enhanced governmental or regulatory scrutiny, litigation, confidentiality or security risks or other complications. The regulatory landscape governing AI technologies is evolving rapidly, and changes in laws, regulations or enforcement practices may potentially impose new compliance requirements, restrict certain AI applications or increase regulatory obligations.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If the analyses that AI-based applications assist in producing are or are perceived to be deficient, inaccurate or biased, we could be subjected to competitive harm, potential legal liability and brand or reputational harm. Our competitors may also adopt AI or generative AI more quickly or more effectively than we do, which could cause competitive harm. Furthermore, use of AI-based software may lead to the unauthorized disclosure of confidential information which may impact our ability to realize the benefits of our intellectual property.</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oversee and maintain our products and services to help ensure that AI is implemented in accordance with applicable law and regulation and in a socially responsible manner and to minimize any real or perceived unintended harmful impacts. Our vendors or partners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and fluctuate substantially, which could result in substantial losses for purchasers of our ordinary shares.</w:t>
      </w:r>
    </w:p>
    <w:p>
      <w:pPr>
        <w:spacing w:after="0" w:line="159"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Our share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ordinary shares at or above your purchase price. The market price for our ordinary shares may be influenced by many factors, including:</w:t>
      </w:r>
    </w:p>
    <w:p>
      <w:pPr>
        <w:spacing w:after="0" w:line="164" w:lineRule="exact"/>
        <w:rPr>
          <w:sz w:val="20"/>
          <w:szCs w:val="20"/>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 relative to our competitors;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300" w:right="259" w:hanging="291"/>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161" w:lineRule="exact"/>
        <w:rPr>
          <w:rFonts w:ascii="Times New Roman" w:cs="Times New Roman" w:eastAsia="Times New Roman" w:hAnsi="Times New Roman"/>
          <w:sz w:val="18"/>
          <w:szCs w:val="18"/>
          <w:color w:val="auto"/>
        </w:rPr>
      </w:pPr>
    </w:p>
    <w:p>
      <w:pPr>
        <w:ind w:left="1300" w:right="439" w:hanging="291"/>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61" w:lineRule="exact"/>
        <w:rPr>
          <w:rFonts w:ascii="Times New Roman" w:cs="Times New Roman" w:eastAsia="Times New Roman" w:hAnsi="Times New Roman"/>
          <w:sz w:val="18"/>
          <w:szCs w:val="18"/>
          <w:color w:val="auto"/>
        </w:rPr>
      </w:pPr>
    </w:p>
    <w:p>
      <w:pPr>
        <w:ind w:left="1300" w:right="259" w:hanging="291"/>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potential strategic transactions related to our assets;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right="459" w:hanging="291"/>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61" w:lineRule="exact"/>
        <w:rPr>
          <w:rFonts w:ascii="Times New Roman" w:cs="Times New Roman" w:eastAsia="Times New Roman" w:hAnsi="Times New Roman"/>
          <w:sz w:val="18"/>
          <w:szCs w:val="18"/>
          <w:color w:val="auto"/>
        </w:rPr>
      </w:pPr>
    </w:p>
    <w:p>
      <w:pPr>
        <w:ind w:left="1300" w:right="579" w:hanging="291"/>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61" w:lineRule="exact"/>
        <w:rPr>
          <w:rFonts w:ascii="Times New Roman" w:cs="Times New Roman" w:eastAsia="Times New Roman" w:hAnsi="Times New Roman"/>
          <w:sz w:val="18"/>
          <w:szCs w:val="18"/>
          <w:color w:val="auto"/>
        </w:rPr>
      </w:pPr>
    </w:p>
    <w:p>
      <w:pPr>
        <w:ind w:left="1300" w:right="219" w:hanging="291"/>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recommendations by securities analysts or shifting investor perceptions;</w:t>
      </w:r>
    </w:p>
    <w:p>
      <w:pPr>
        <w:spacing w:after="0" w:line="161"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225" w:lineRule="exact"/>
        <w:rPr>
          <w:rFonts w:ascii="Times New Roman" w:cs="Times New Roman" w:eastAsia="Times New Roman" w:hAnsi="Times New Roman"/>
          <w:sz w:val="18"/>
          <w:szCs w:val="18"/>
          <w:color w:val="auto"/>
        </w:rPr>
      </w:pPr>
    </w:p>
    <w:p>
      <w:pPr>
        <w:ind w:left="1300" w:hanging="291"/>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“Item 1A. Risk Factors” section and elsewhere in this Form 10-Q.</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Nasdaq and biopharmaceutical companies in particular, have experienced extreme price and volume fluctuations that have often been unrelated or disproportionate to the operating performance of these companies. In the past, when the market price of a security has been volatile, holders of that security have sometimes instituted securities class action litigation against the issuer. This risk is especially relevant for us because biopharmaceutical companies have experienced significant stock price volatility in recent years. If any of the holders of our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Broad market and industry factors may negatively affect the market price of our ordinary shares, as well as general economic, political and market conditions such as recessions, interest rate changes or international currency fluctuations, regardless of our actual operating performance. Further, a decline in the financial markets and related factors beyond our control may cause the price of our ordinary shares to decline rapidly and unexpectedly. If the market price of our ordinary shares does not exceed your purchase price, you may not realize any return on your investment in us and may lose some or all of your investment.</w:t>
      </w:r>
    </w:p>
    <w:p>
      <w:pPr>
        <w:spacing w:after="0" w:line="183"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raise additional capital pursuant to our shelf registration statement, including through our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at-the-market” offering program, or through additional public or private placements, any of which could substantially dilute the investment of our stockholders.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could dilute your ownership interest. Pursuant to an “at-the-market” sales agreement we entered into with BofA Securities, Inc., or BofA, in December 2023, we may sell from time to time, ordinary shares having an aggregate offering price of up to $100.0 million through BofA, acting as our agent. During the three-month period ended March 31, 2026, we raised gross proceeds of $14.0 million through the sale of 1,770,729 ordinary shares pursuant to an “at-the-market” equity offering program. Whether we choose to affect future sales under the “at-the-market” equity offering program will depend on a number of factors, including, among others, market conditions and the trading price of our ordinary shares relative to other sources of capital. The issuance from time to time of ordinary shares through our “at-the-market” equity offering program or in any other equity offering, or the perception that such sales may occur, could have the effect of depressing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shareholders, if they choose to act together, have the ability to significantly influence all matters submitted to shareholders for approval.</w:t>
      </w:r>
    </w:p>
    <w:p>
      <w:pPr>
        <w:spacing w:after="0" w:line="15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April 21, 2026, our executive officers, directors and shareholders who owned more than 5% of our outstanding ordinary shares and their respective affiliates, in the aggregate, hold ordinary shares representing approximately 49.4% of our outstanding ordinary shares. In addition, in connection with entering into the Financing Agreement, we issued to an affiliate of Perceptive Advisors LLC, our largest shareholder that employs a director serving on our board, warrants to purchase an aggregate of 700,000 of our ordinary shares.</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As a result, if these shareholders choose to act together, they would be able to significantly influence all matters submitted to our shareholders for approval, as well as our management and affairs. For example, these persons, if they choose to act together, would significantly influence the election of directors, the composition of our management and approval of any merger, consolidation, sale of all or substantially all of our assets or other business combination that other shareholders may desire. Any of these actions could adversely affect the market price of our ordinary shares.</w:t>
      </w:r>
    </w:p>
    <w:p>
      <w:pPr>
        <w:spacing w:after="0" w:line="179"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ordinary shares less attractive to investors.</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the fiscal year following the determination that our voting and non-voting ordinary shares held by non-affiliates is more than $250 million measured on the last business day of our second fiscal quarter, or our annual revenues are more than $100 million during the most recently completed fiscal year and our voting and non-voting ordinary shares held by non-affiliates is more than $700 million measured on the last business day of our second fiscal quarter. Smaller reporting companies are able to provide simplified executive compensation disclosure, are exempt from the auditor attestation requirements of Section 404, and have certain other reduced disclosure obligations, including, among other things, not being required to provide selected financial data, supplemental financial information or risk factors.</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for smaller reporting companies. We cannot predict whether investors will find our ordinary shares less attractive if we rely on these exemptions. If some investors find our ordinary shares less attractive as a result, there may be a less active trading market for our ordinary shares and our share price may be more volatile.</w:t>
      </w:r>
    </w:p>
    <w:p>
      <w:pPr>
        <w:spacing w:after="0" w:line="176"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spacing w:after="0" w:line="175"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difficulties in enforcing foreign judgments against our management or us.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Certain of our directors and management reside outside the United States. A significant portion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federal securities laws of the United States.</w:t>
      </w:r>
    </w:p>
    <w:p>
      <w:pPr>
        <w:spacing w:after="0" w:line="18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particular, investors should be aware that there is uncertainty as to whether the courts of the Cayman Islands or any other applicable jurisdictions would recognize and enforce judgments of U.S. courts obtained against us or our directors or management predicated upon the civil liability provisions of the securities laws of the United States or 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state in the United States or entertain original actions brought in the Cayman Islands or any other applicable jurisdiction’s courts against us or our directors or officers predicated upon the securities laws of the United States or any state in the United States.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differ from the rights typically offered to shareholders of a U.S. corporation.</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and the rights of holders of ordinary shares are governed by Cayman Islands law, including the provisions of the Cayman Islands Companies Act (as amended), or the Companies Act, the common law of the Cayman Islands and by our memorandum and articles of association.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7"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be treated as resident in the UK for tax purposes, but may be treated as a dual resident company for UK tax purposes.</w:t>
      </w:r>
    </w:p>
    <w:p>
      <w:pPr>
        <w:spacing w:after="0" w:line="15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conducts our affairs so that the central management and control of the company is exercised in the UK. As a result, we expect to be treated as resident in the UK for UK tax purposes. Accordingly, we expect to be subject to UK taxation on our income and gains, except where an exemption applies.</w:t>
      </w:r>
    </w:p>
    <w:p>
      <w:pPr>
        <w:spacing w:after="0" w:line="17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However, we may be treated as a dual resident company for UK tax purposes. As a result, our right to claim certain reliefs from UK tax may be restricted, and changes in law or practice in the UK could result in the imposition of further restrictions on our right to claim UK tax reliefs.</w:t>
      </w:r>
    </w:p>
    <w:p>
      <w:pPr>
        <w:spacing w:after="0" w:line="17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for U.S. federal income tax purposes, which could result in adverse U.S. federal income tax consequences to U.S. investors in our ordinary shares.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value of our assets, including goodwill, and the current and anticipated composition of our income, assets and operations, we do not believe we were a PFIC for the taxable year ended on December 31, 2025, and do not expect to be a PFIC for the current taxable year. However, the application of the PFIC rules is subject to uncertainty in several respects, and we cannot assure you that the U.S. Internal Revenue Service, or the IRS, will not take a contrary position. Furthermore, a separate determination must be made after the close of each taxable year as to whether we are a PFIC for that year. Accordingly, we cannot assure you that we were not a PFIC for our taxable year ended on December 31, 2025 or that we will not be a PFIC for our current taxable year or any future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The value of our assets generally is determined by reference to the market price of our ordinary shares, which may fluctuate considerably. In addition, the composition of our income and assets is affected by how, and how quickly, we spend any cash we raise. If we were to be classified as a PFIC for any taxable year during which a U.S. holder holds our ordinary shares, certain materially adverse U.S. federal income tax consequences could apply to such U.S. holder.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ind w:left="60" w:right="139" w:firstLine="648"/>
        <w:spacing w:after="0" w:line="268" w:lineRule="auto"/>
        <w:rPr>
          <w:sz w:val="20"/>
          <w:szCs w:val="20"/>
          <w:color w:val="auto"/>
        </w:rPr>
      </w:pPr>
      <w:r>
        <w:rPr>
          <w:rFonts w:ascii="Times New Roman" w:cs="Times New Roman" w:eastAsia="Times New Roman" w:hAnsi="Times New Roman"/>
          <w:sz w:val="17"/>
          <w:szCs w:val="17"/>
          <w:color w:val="auto"/>
        </w:rPr>
        <w:t>If a U.S. holder of our ordinary shares is treated as owning (directly, indirectly or constructively) at least 10% of the value or voting power of our ordinary shares, such U.S. holder may be treated as a “United States shareholder” with respect to each “controlled foreign corporation” in our group (if any). If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from starting with respect to your U.S. federal income tax return for the year for which reporting was due. We cannot provide any assurances that we will assist investors in determining whether any of our non-U.S. subsidiaries is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of our ordinary shares should consult their tax advisors regarding the potential application of these rules to their investment in our ordinary shares.</w:t>
      </w:r>
    </w:p>
    <w:p>
      <w:pPr>
        <w:spacing w:after="0" w:line="173"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challenges to our tax position could adversely affect our results of operations and financial condition.</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complex tax laws that are subject to change or differing interpretations, including on a retroactive basis. Any such changes in tax laws, regulations and treaties, or the interpretation thereof, tax policy initiatives and reforms under consideration and the practices of tax authorities in jurisdictions in which we operate could adversely affect our tax position, including our effective tax rate or tax payments.</w:t>
      </w:r>
    </w:p>
    <w:p>
      <w:pPr>
        <w:spacing w:after="0" w:line="176"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U.S. federal and state net operating losses, or NOLs, and UK and Ireland carryforward tax losses which we may not be able to realize or which may be restricted under applicable law. We also benefit from certain tax incentive regimes, such as research and development tax credits. Any adverse change to these regimes, the application thereof or challenges to the tax position we have adopted under these rules could adversely affect our results of operations and financial condition.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we had federal and state NOL carryforwards in the United States of $163.5 million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$23.4 million, respectively, and cumulative carryforward tax losses in the UK of $196.0 million, which we expect to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available to reduce future taxable income subject to any relevant restrictions (including those in the U.S. and UK that limit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percentage of taxable income that can be reduced by NOLs and carried forward losses). As of 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cumulative carryforward tax losses in Ireland were $118.1 million. U.S. federal NOLs generated after December 31, 2017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are not subject to expiration but such NOLs may only offset 80% of taxable income for taxable years beginning after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 U.S. federal NOLs generated prior to December 31, 2017 may only be carried forward for 20 years.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we also had orphan drug and research and development credits in the U.S. in the amount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$27.2 million, both of which may be carried forward for 20 years and are expected to begin expiring in 2035 if not utilized.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had research and development credits in the UK of $5.9 million, which may be carried forward indefinitely until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utilized. The UK and Ireland carryforward tax losses will continue indefinitely, subject to relevant restrictions, under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jurisdictional tax law.</w:t>
      </w:r>
    </w:p>
    <w:p>
      <w:pPr>
        <w:spacing w:after="0" w:line="20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NOLs and carryforward tax losses are subject to review and possible adjustment by the applicable tax authorities. Additionally, carryforward tax losses, and research and development tax credits, may become subject to limitations in the event of certain cumulative changes in the ownership interest of significant shareholders, as determined under Sections 382 of the United States Internal Revenue Code, as well as the Corporation Tax Act 2010 Part 14 under the UK tax rules and the Taxes Consolidation Act 1997 (TCA 1997) under the Ireland tax rules. This could limit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amount of NOLs or carryforward tax losses that we can utilize annually to offset future taxable income or tax liabilities. We have conducted a review of changes in the ownership interest of significant shareholders and determined that as of December 2024, there were no limitations in the UK. However, for U.S. purposes, we determined that a change of ownership occurred in April 2016 and again in June 2018, but there was not a limit for utilizing these losses to offset the 2022 income. We have performed a 382 analysis through December 2024 and no additional change of ownership has occurred. Subsequent ownership changes and changes to the U.S. federal or state or UK tax rules in respect of the utilization of NOLs and carryforward tax losses may further affect the limitation in future years.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disrupt our business, cause dilution to our shareholders or reduce our financial resources.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have, and may in the future, enter into transactions to acquire other businesses, products or technologies. For example, in July 2025, we acquired through a French insolvency proceeding certain assets, operations and employees of Smart Immune, a French clinical-stage biotechnology company that developed ProTcell, a T-cell progenitor-based cell therapy platform that harnesses the patient’s own thymus to rapidly re-arm the immune system against a wide range of potential conditions, including cancer and autoimmune conditions. We may not be able to successfully integrate these acquired assets, operations and personnel into our existing business in an effective, timely and nondisruptive manner.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ordinary shares or other equity securities to the shareholders of the acquired company, which would reduce the percentage ownership of our existing shareholders. We could incur losses resulting from undiscovered liabilities of the acquired business that are not covered by the indemnification we may obtain from the seller.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adversely affect our results of operations and financial condition.</w:t>
      </w:r>
    </w:p>
    <w:p>
      <w:pPr>
        <w:spacing w:after="0" w:line="16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may adversely affect us, particularly between the U.S. dollar on the one hand, and the pound sterling and euro on the other hand. As a result, our business and the market price of our securities may be affected by such fluctuations, which may have a significant impact on our results of operations and cash flows from period to period. Currently, we do not have any exchange rate hedging arrangements in place.</w:t>
      </w:r>
    </w:p>
    <w:p>
      <w:pPr>
        <w:spacing w:after="0" w:line="179"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as to the use of the net proceeds from public and private equity or debt financings and the investment of these proceeds may not yield a favorable return. We may invest the proceeds in ways with which our shareholders disagree.</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broad discretion in the application of any net proceeds we have received in the past or may receive in the future pursuant to existing or future equity and debt financings, including under our “at-the-market” equity offering program. Shareholders may not agree with our decisions, and our use of the proceeds and our existing cash and cash equivalents may not improve our results of operation or enhance the value of our ordinary shares. Our ability to apply certain proceeds may be restricted. For example, in April 2026, we conducted an equity financing by selling 11.1 million ordinary shares at a price of $9.00 per share for gross proceeds of approximately $100.0 million. Our failure to apply any such funds effectively could have a material adverse effect on our business, delay the development of our product candidates and cause the market price of our ordinary shares to decline. In addition, until the net proceeds are used, they may be placed in investments that do not produce significant income or that may lose value. Additionally, our existing cash and cash equivalents are subject to general credit, liquidity, market and interest rate risks, which have been and may, in the future, be exacerbated by a U.S. and/or global financial crises. We may realize losses in the fair value of certain of our investments or a complete loss of these investments if the credit markets tighten, which would have an adverse effect on our results of operations, liquidity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substantial costs as a result of operating as a public company, and our management is required to devote substantial time to new and existing compliance initiatives and corporate governance practices.</w:t>
      </w:r>
    </w:p>
    <w:p>
      <w:pPr>
        <w:spacing w:after="0" w:line="9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incur and will continue to incur significant legal, accounting and other expenses. The Sarbanes-Oxley Act of 2002, the Dodd-Frank Wall Street Reform and Consumer Protection Act, The Nasdaq Global Select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w:t>
      </w:r>
    </w:p>
    <w:p>
      <w:pPr>
        <w:spacing w:after="0" w:line="12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are a non-accelerated filer, we will not be required to include an attestation report on internal control over financial reporting issued by our independent registered public accounting firm. To achieve compliance with Section 404, we engage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or our independent registered public accounting firm, if we no longer qualify as a non-accelerated filer, will not be able to conclude that our internal control over financial reporting is effective as required by Section 404.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identify one or more material weaknesses or determine we have inadequate internal controls, it could result in an adverse reaction in the financial markets due to a loss of confidence in the reliability of our financial statements.</w:t>
      </w:r>
    </w:p>
    <w:p>
      <w:pPr>
        <w:spacing w:after="0" w:line="189"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issue an adverse or misleading opinion regarding our ordinary shares, our share price and trading volume could decline.</w:t>
      </w:r>
    </w:p>
    <w:p>
      <w:pPr>
        <w:spacing w:after="0" w:line="15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ordinary shares relies in part on the research and reports that industry or securities analysts publish about us or our business. We do not control these analysts. Furthermore, if any of the analysts who cover us issue an adverse or misleading opinion regarding us, our business model, our intellectual property or our share performance, or if any of our preclinical studies or clinical trials and operating results fail to meet the expectations of analysts, our share price would likely decline. If one or more of these analysts ceases coverage of us or fails to publish reports on us regularly, we could lose visibility in the financial markets, which in turn could cause our share price or trading volume to decline.</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factors may impose additional costs and expose us to new risks.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There has been a focus in recent years by the SEC, foreign regulators, stock exchanges, certain investors and other stakeholders concerning corporate responsibility, specifically related to environmental, social and governance factors. While the SEC has adopted rules regarding new climate-related disclosure, such rules have been stayed by the SEC pending the outcome of pending litigation challenging the new rules. Corporate sustainability rules in Europe also have been scaled back. Nevertheless, some investors may use these and other environmental, social and governance factors to guide their investment strategies and, in some cases, may choose not to invest in us if they believe our policies and disclosures relating to corporate responsibility are inadequate. Third-party providers of corporate responsibility ratings and reports on companies have varied and in some cases inconsistent standards. In addition, the criteria by which companies’ corporate responsibility practices are assessed are evolving, which could result in greater expectations of us and cause us to undertake costly initiatives to satisfy such new criteria. Alternatively, if we elect not to or are unable to satisfy such new criteria or do not meet the criteria of a specific third-party provider, some investors may conclude that our policies with respect to corporate responsibility are insufficient. We may face reputational damage in the event that our corporate responsibility procedures or standards do not meet the standards set by various constituencies.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Furthermore, if our competitors’ corporate responsibility performance is perceived to be greater than ours, potential or current investors may elect to invest with our competitors instead. In addition, in the event that we communicate or disclose certain initiatives and goals regarding environmental, social and governance matters, we could fail, or be perceived to fail, in our achievement of such initiatives or goals, or we could be criticized for the scope of such initiatives or goals or be subject to litigation for such failures. If we fail to satisfy the expectations of investors and other stakeholders or our initiatives are not executed as planned, our reputation and financial results could be adversely affected.</w:t>
      </w:r>
    </w:p>
    <w:p>
      <w:pPr>
        <w:spacing w:after="0" w:line="183"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ordinary shares in the foreseeable future, capital appreciation, if any, would be your sole source of gain.</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we may only make distributions by way of dividend out of profits, or out of our share premium account (provided that immediately following the date that the dividend is proposed to be paid we are able to pay our debts as they fall due in the ordinary course of business). 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In addition, the Notes Purchase Agreement prohibits us from paying dividends during its term and the terms of existing and future financing agreements may also preclude us from paying dividends. As a result, capital appreciation, if any, of our ordinary shares would be your sole source of gain on an investment in our ordinary shares for the foreseeable future. See the “Dividend Policy” section of our Form 10-K for the year ended December 31, 2025 previously filed with the SEC for additional information.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8"/>
        </w:trPr>
        <w:tc>
          <w:tcPr>
            <w:tcW w:w="1720" w:type="dxa"/>
            <w:vAlign w:val="bottom"/>
            <w:tcBorders>
              <w:top w:val="single" w:sz="8" w:color="CCEEFF"/>
            </w:tcBorders>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1/1/2026 -</w:t>
            </w:r>
          </w:p>
        </w:tc>
        <w:tc>
          <w:tcPr>
            <w:tcW w:w="1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1/31/2026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2/1/2026 -</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2/28/2026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3/1/2026 -</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3/31/2026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559" w:hanging="330"/>
        <w:spacing w:after="0" w:line="282" w:lineRule="auto"/>
        <w:tabs>
          <w:tab w:leader="none" w:pos="3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ordinary shares we repurchased from Perceptive Life Sciences Master Fund, Ltd. under a share purchase agreement dated December 31, 2025. The repurchase transaction was completed on January 5, 2026.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212529"/>
        </w:rPr>
        <w:t>On May 12, 2026, we, as issuer, and the Subsidiary Guarantors, the noteholders and other parties from time to time party to the Notes Purchase Agreement, and Perceptive, as administrative agent and lender under the Notes Purchase Agreement, entered into Amendment No. 5 to Amended and Restated Notes Purchase Agreement to extend the maturity date of the Notes Purchase Agreement from May 2, 2027 to July 1, 2027.</w:t>
      </w:r>
    </w:p>
    <w:p>
      <w:pPr>
        <w:spacing w:after="0" w:line="180"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modified or terminated a “Rule 10b5-1 trading arrangement” and/or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6. Exhibits.</w:t>
      </w:r>
    </w:p>
    <w:p>
      <w:pPr>
        <w:sectPr>
          <w:pgSz w:w="11900" w:h="16838" w:orient="portrait"/>
          <w:cols w:equalWidth="0" w:num="1">
            <w:col w:w="9019"/>
          </w:cols>
          <w:pgMar w:left="1440" w:top="513" w:right="1440"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vMerge w:val="restart"/>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3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13"/>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bottom w:val="single" w:sz="8" w:color="0000EE"/>
            </w:tcBorders>
            <w:gridSpan w:val="5"/>
          </w:tcPr>
          <w:p>
            <w:pPr>
              <w:spacing w:after="0" w:line="169"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No. 4 to Amended and Restated</w:t>
              </w:r>
            </w:hyperlink>
          </w:p>
        </w:tc>
        <w:tc>
          <w:tcPr>
            <w:tcW w:w="4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Notes Purchase Agreement and Amendment No. 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to Warrant Certificates, dated March 25, 2026, by</w:t>
              </w:r>
            </w:hyperlink>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and among MeiraGTx Holdings plc, as issuer,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subsidiary guarantors and noteholders from time</w:t>
              </w:r>
            </w:hyperlink>
          </w:p>
        </w:tc>
        <w:tc>
          <w:tcPr>
            <w:tcW w:w="80" w:type="dxa"/>
            <w:vAlign w:val="bottom"/>
            <w:tcBorders>
              <w:top w:val="single" w:sz="8" w:color="0000EE"/>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to time party thereto, and Perceptive Credit</w:t>
              </w:r>
            </w:hyperlink>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Holdings III, LP, as administrative agent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noteholder.</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Amendment No. 5 to Amended and Restated</w:t>
            </w:r>
          </w:p>
        </w:tc>
        <w:tc>
          <w:tcPr>
            <w:tcW w:w="4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Purchase Agreement, dated May 12, 2026,</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by and among MeiraGTx Holdings plc, as issuer,</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subsidiary guarantors and noteholders from</w:t>
            </w: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time to time party thereto, and Perceptive Credit</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Holdings III, LP, as administrative agent and</w:t>
            </w: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noteholder.</w:t>
            </w:r>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Rules 13a-14(a) and 15d-14(a) under</w:t>
            </w: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w:t>
            </w: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60" w:type="dxa"/>
            <w:vAlign w:val="bottom"/>
            <w:tcBorders>
              <w:left w:val="single" w:sz="8" w:color="0000EE"/>
            </w:tcBorders>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5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Rules 13a-14(a) and 15d-14(a) under</w:t>
            </w: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Adopted</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w:t>
            </w: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60" w:type="dxa"/>
            <w:vAlign w:val="bottom"/>
            <w:tcBorders>
              <w:left w:val="single" w:sz="8" w:color="0000EE"/>
            </w:tcBorders>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w:t>
            </w:r>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60" w:type="dxa"/>
            <w:vAlign w:val="bottom"/>
            <w:tcBorders>
              <w:left w:val="single" w:sz="8" w:color="0000EE"/>
            </w:tcBorders>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5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w:t>
            </w:r>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bl>
    <w:p>
      <w:pPr>
        <w:ind w:left="1300" w:right="280" w:hanging="1290"/>
        <w:spacing w:after="0" w:line="260"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66675</wp:posOffset>
            </wp:positionV>
            <wp:extent cx="14141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5" w:lineRule="exact"/>
        <w:rPr>
          <w:sz w:val="20"/>
          <w:szCs w:val="20"/>
          <w:color w:val="auto"/>
        </w:rPr>
      </w:pPr>
    </w:p>
    <w:p>
      <w:pPr>
        <w:ind w:left="360" w:hanging="310"/>
        <w:spacing w:after="0"/>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Filing</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Form </w:t>
            </w:r>
            <w:r>
              <w:rPr>
                <w:rFonts w:ascii="Times New Roman" w:cs="Times New Roman" w:eastAsia="Times New Roman" w:hAnsi="Times New Roman"/>
                <w:sz w:val="14"/>
                <w:szCs w:val="14"/>
                <w:color w:val="auto"/>
              </w:rPr>
              <w:t>​</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File No.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Exhibit </w:t>
            </w: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001-</w:t>
      </w:r>
    </w:p>
    <w:p>
      <w:pPr>
        <w:spacing w:after="0" w:line="27" w:lineRule="exact"/>
        <w:rPr>
          <w:sz w:val="20"/>
          <w:szCs w:val="20"/>
          <w:color w:val="auto"/>
        </w:rPr>
      </w:pPr>
    </w:p>
    <w:p>
      <w:pPr>
        <w:ind w:left="100"/>
        <w:spacing w:after="0"/>
        <w:tabs>
          <w:tab w:leader="none" w:pos="700" w:val="left"/>
          <w:tab w:leader="none" w:pos="1380" w:val="left"/>
          <w:tab w:leader="none" w:pos="1980" w:val="left"/>
        </w:tabs>
        <w:rPr>
          <w:sz w:val="20"/>
          <w:szCs w:val="20"/>
          <w:color w:val="auto"/>
        </w:rPr>
      </w:pPr>
      <w:r>
        <w:rPr>
          <w:rFonts w:ascii="Times New Roman" w:cs="Times New Roman" w:eastAsia="Times New Roman" w:hAnsi="Times New Roman"/>
          <w:sz w:val="18"/>
          <w:szCs w:val="18"/>
          <w:color w:val="auto"/>
        </w:rPr>
        <w:t>10-K</w:t>
        <w:tab/>
        <w:t>38520</w:t>
        <w:tab/>
        <w:t>10.53</w:t>
        <w:tab/>
        <w:t>3/30/2026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866" w:lineRule="exact"/>
        <w:rPr>
          <w:sz w:val="20"/>
          <w:szCs w:val="20"/>
          <w:color w:val="auto"/>
        </w:rPr>
      </w:pPr>
    </w:p>
    <w:p>
      <w:pPr>
        <w:sectPr>
          <w:pgSz w:w="11900" w:h="16838" w:orient="portrait"/>
          <w:cols w:equalWidth="0" w:num="2">
            <w:col w:w="4980" w:space="40"/>
            <w:col w:w="3999"/>
          </w:cols>
          <w:pgMar w:left="1440" w:top="513" w:right="1440"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​MeiraGTx​ Holdings plc (Registrant)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0"/>
        <w:spacing w:after="0"/>
        <w:tabs>
          <w:tab w:leader="none" w:pos="4560" w:val="left"/>
          <w:tab w:leader="none" w:pos="61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Alexandria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060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b w:val="1"/>
          <w:bCs w:val="1"/>
          <w:color w:val="auto"/>
        </w:rPr>
        <w:t>Alexandria Forbes</w:t>
      </w:r>
    </w:p>
    <w:p>
      <w:pPr>
        <w:spacing w:after="0" w:line="23"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 and authorized signatory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0"/>
        <w:spacing w:after="0"/>
        <w:tabs>
          <w:tab w:leader="none" w:pos="4560" w:val="left"/>
          <w:tab w:leader="none" w:pos="622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060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b w:val="1"/>
          <w:bCs w:val="1"/>
          <w:color w:val="auto"/>
        </w:rPr>
        <w:t>Richard Giroux</w:t>
      </w:r>
    </w:p>
    <w:p>
      <w:pPr>
        <w:spacing w:after="0" w:line="23"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 Officer</w:t>
      </w:r>
    </w:p>
    <w:p>
      <w:pPr>
        <w:spacing w:after="0" w:line="9"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5 TO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PURCHASE AGREEMENT</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5 TO AMENDED AND RESTATED NOTES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made and entered into as of May 12, 2026 by and among </w:t>
      </w:r>
      <w:r>
        <w:rPr>
          <w:rFonts w:ascii="Times New Roman" w:cs="Times New Roman" w:eastAsia="Times New Roman" w:hAnsi="Times New Roman"/>
          <w:sz w:val="18"/>
          <w:szCs w:val="18"/>
          <w:b w:val="1"/>
          <w:bCs w:val="1"/>
          <w:color w:val="auto"/>
        </w:rPr>
        <w:t>MEIRAGTX HOLDINGS PLC</w:t>
      </w:r>
      <w:r>
        <w:rPr>
          <w:rFonts w:ascii="Times New Roman" w:cs="Times New Roman" w:eastAsia="Times New Roman" w:hAnsi="Times New Roman"/>
          <w:sz w:val="18"/>
          <w:szCs w:val="18"/>
          <w:color w:val="auto"/>
        </w:rPr>
        <w:t xml:space="preserve"> an exempted company with limited liability incorporated under the laws of the Cayman Islands with registration number 336306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xml:space="preserve">”), certain Subsidiaries (as defined in the Notes Purchase Agreement, defined below) of the Issuer that are signatories hereto, and </w:t>
      </w:r>
      <w:r>
        <w:rPr>
          <w:rFonts w:ascii="Times New Roman" w:cs="Times New Roman" w:eastAsia="Times New Roman" w:hAnsi="Times New Roman"/>
          <w:sz w:val="18"/>
          <w:szCs w:val="18"/>
          <w:b w:val="1"/>
          <w:bCs w:val="1"/>
          <w:color w:val="auto"/>
        </w:rPr>
        <w:t>PERCEPTIVE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HOLDINGS III, LP</w:t>
      </w:r>
      <w:r>
        <w:rPr>
          <w:rFonts w:ascii="Times New Roman" w:cs="Times New Roman" w:eastAsia="Times New Roman" w:hAnsi="Times New Roman"/>
          <w:sz w:val="18"/>
          <w:szCs w:val="18"/>
          <w:color w:val="auto"/>
        </w:rPr>
        <w:t>, acting in its capacities as (i) a Noteholder (as defined in the Notes Purchase Agreement (defined below))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for the Noteholders (also as defined in the Notes Purchase Agreement) (in such capacity,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its Subsidiaries parties hereto, the Noteholders and the Administrative Agent are each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certain Amended and Restated Notes Purchase Agreement and Guaranty, dated as of August 2, 2022, as amended and restated as of December 19, 2022 (as amended or otherwise modified from time to time, the “</w:t>
      </w:r>
      <w:r>
        <w:rPr>
          <w:rFonts w:ascii="Times New Roman" w:cs="Times New Roman" w:eastAsia="Times New Roman" w:hAnsi="Times New Roman"/>
          <w:sz w:val="18"/>
          <w:szCs w:val="18"/>
          <w:u w:val="single" w:color="auto"/>
          <w:color w:val="auto"/>
        </w:rPr>
        <w:t>Notes Purchase Agreement</w:t>
      </w:r>
      <w:r>
        <w:rPr>
          <w:rFonts w:ascii="Times New Roman" w:cs="Times New Roman" w:eastAsia="Times New Roman" w:hAnsi="Times New Roman"/>
          <w:sz w:val="18"/>
          <w:szCs w:val="18"/>
          <w:color w:val="auto"/>
        </w:rPr>
        <w:t>”), pursuant to which the Noteholders have extended credit to the Issuer on the terms set forth therein; and</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the Noteholders and the Administrative Agent desire to amend the Notes 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herein.</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contained,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155" w:lineRule="exact"/>
        <w:rPr>
          <w:sz w:val="20"/>
          <w:szCs w:val="20"/>
          <w:color w:val="auto"/>
        </w:rPr>
      </w:pPr>
    </w:p>
    <w:p>
      <w:pPr>
        <w:ind w:firstLine="1304"/>
        <w:spacing w:after="0" w:line="286" w:lineRule="auto"/>
        <w:tabs>
          <w:tab w:leader="none" w:pos="19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herein without definition shall have the meanings assigned to such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Notes Purchase Agreement.</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Effective as of the Effective Date (as defined below) and subject to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the definition of “Maturity Date” set forth in Section 1.01 of the Notes Purchase Agreement is hereby amended and restated in its entirety to read as follows: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means July 1, 2027.”</w:t>
      </w:r>
    </w:p>
    <w:p>
      <w:pPr>
        <w:spacing w:after="0" w:line="225" w:lineRule="exact"/>
        <w:rPr>
          <w:sz w:val="20"/>
          <w:szCs w:val="20"/>
          <w:color w:val="auto"/>
        </w:rPr>
      </w:pPr>
    </w:p>
    <w:p>
      <w:pPr>
        <w:jc w:val="both"/>
        <w:ind w:firstLine="1304"/>
        <w:spacing w:after="0" w:line="268" w:lineRule="auto"/>
        <w:tabs>
          <w:tab w:leader="none" w:pos="19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color w:val="auto"/>
        </w:rPr>
        <w:t>. This Agreement shall become effective only upon, and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or simultaneous satisfaction or waiver of each of the following conditions precedent in a manner reasonably satisfactory to the Administrative Agent (the date of satisfaction or waiver of all such conditions being referred to as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firstLine="1965"/>
        <w:spacing w:after="0" w:line="282" w:lineRule="auto"/>
        <w:tabs>
          <w:tab w:leader="none" w:pos="26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of counterpart signatures to this Agreement duly executed and delivered by the Issuer, its Subsidiaries party hereto, the Noteholders party hereto and the Administrative Agent;</w:t>
      </w:r>
    </w:p>
    <w:p>
      <w:pPr>
        <w:spacing w:after="0" w:line="161" w:lineRule="exact"/>
        <w:rPr>
          <w:rFonts w:ascii="Times New Roman" w:cs="Times New Roman" w:eastAsia="Times New Roman" w:hAnsi="Times New Roman"/>
          <w:sz w:val="18"/>
          <w:szCs w:val="18"/>
          <w:color w:val="auto"/>
        </w:rPr>
      </w:pPr>
    </w:p>
    <w:p>
      <w:pPr>
        <w:ind w:left="2620" w:hanging="655"/>
        <w:spacing w:after="0"/>
        <w:tabs>
          <w:tab w:leader="none" w:pos="2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below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as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and</w:t>
      </w:r>
    </w:p>
    <w:p>
      <w:pPr>
        <w:spacing w:after="0" w:line="206" w:lineRule="exact"/>
        <w:rPr>
          <w:rFonts w:ascii="Times New Roman" w:cs="Times New Roman" w:eastAsia="Times New Roman" w:hAnsi="Times New Roman"/>
          <w:sz w:val="18"/>
          <w:szCs w:val="18"/>
          <w:color w:val="auto"/>
        </w:rPr>
      </w:pPr>
    </w:p>
    <w:p>
      <w:pPr>
        <w:jc w:val="both"/>
        <w:ind w:firstLine="1965"/>
        <w:spacing w:after="0" w:line="261" w:lineRule="auto"/>
        <w:tabs>
          <w:tab w:leader="none" w:pos="26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all fees, costs and expenses due and payable pursuant to Section 14.03 of the Notes Purchase Agreement (including without limitation the reasonable fees and expenses of Morrison &amp; Foerster LLP, counsel to the Administrative Agent and the Noteholders related to the negotiation, preparation, execution and delivery of this Agreement and other matters in respect of the Notes Purchase Agreement to the extent accrued on or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12" w:name="page113"/>
    <w:bookmarkEnd w:id="112"/>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Issuer and each other Obligor party hereto represents and warrants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1965"/>
        <w:spacing w:after="0" w:line="254" w:lineRule="auto"/>
        <w:tabs>
          <w:tab w:leader="none" w:pos="26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contemplated by this Agreement is within such Obligor’s corporate or other powers and has been duly authorized by all necessary corporate action including, if required, approval by all necessary holders of Equity Interests. This Agreement has been duly executed and delivered by such Obligor and each of this Agreement, the Notes Purchase Agreement and each other Notes Document, in each case as amended or otherwise modified hereby, constitutes a legal, valid and binding obligation of such Obligor party thereto, enforceable against such Obligor in accordance with its terms, except as such enforceability may be limited by (i) bankruptcy, insolvency, reorganization, moratorium or similar laws of general applicability affecting the enforcement of creditors’ rights; (ii) the application of general principles of equity (regardless of whether such enforceability is considered in a proceeding in equity or at law); and (iii) solely in respect of the English Guarantor and the Irish Subsidiary Guarantor, the Legal Reservations or the Perfection Requirements.</w:t>
      </w:r>
    </w:p>
    <w:p>
      <w:pPr>
        <w:spacing w:after="0" w:line="188" w:lineRule="exact"/>
        <w:rPr>
          <w:rFonts w:ascii="Times New Roman" w:cs="Times New Roman" w:eastAsia="Times New Roman" w:hAnsi="Times New Roman"/>
          <w:sz w:val="18"/>
          <w:szCs w:val="18"/>
          <w:color w:val="auto"/>
        </w:rPr>
      </w:pPr>
    </w:p>
    <w:p>
      <w:pPr>
        <w:jc w:val="both"/>
        <w:ind w:firstLine="1965"/>
        <w:spacing w:after="0" w:line="253" w:lineRule="auto"/>
        <w:tabs>
          <w:tab w:leader="none" w:pos="26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any other Person (other than those that have been duly obtained or made and which are in full force and effect) is required in connection with the due execution, delivery or performance by any Obligor party to this Agreement, except for such approvals, consents, exemptions, authorizations, actions or notices (including such filings and recordings that have been or will be made on the Effective Date in respect of perfecting or recording the Liens created pursuant to the Security Documents) that have been duly obtained, taken or made and that are in full force and effect. None of the transactions contemplated by this Agreement will (i) violate or conflict with any Law, other than any such violation that could not, individually or in the aggregate, reasonably be expected to result in a Material Adverse Effect, (ii) violate or conflict with any Organic Document of the Issuer or any of its Subsidiaries, (iii) violate or conflict with any Governmental Approval of any Governmental Authority binding upon the Issuer or any of its Subsidiaries other than any such violation that could not, individually or in the aggregate, reasonably be expected to result in a Material Adverse Effect, (iv) violate or result in a default under any Material Agreement other than any such violation that could not, individually or in the aggregate, reasonably be expected to result in a Material Adverse Effect, or (v) result in the creation or imposition of any Lien (other than Permitted Liens) on any asset of such Obligor.</w:t>
      </w:r>
    </w:p>
    <w:p>
      <w:pPr>
        <w:spacing w:after="0" w:line="187" w:lineRule="exact"/>
        <w:rPr>
          <w:rFonts w:ascii="Times New Roman" w:cs="Times New Roman" w:eastAsia="Times New Roman" w:hAnsi="Times New Roman"/>
          <w:sz w:val="18"/>
          <w:szCs w:val="18"/>
          <w:color w:val="auto"/>
        </w:rPr>
      </w:pPr>
    </w:p>
    <w:p>
      <w:pPr>
        <w:ind w:left="2620" w:hanging="655"/>
        <w:spacing w:after="0"/>
        <w:tabs>
          <w:tab w:leader="none" w:pos="2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no Event of Default has occurred and is continuing or is reasonably likely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occur.</w:t>
      </w:r>
    </w:p>
    <w:p>
      <w:pPr>
        <w:spacing w:after="0" w:line="206" w:lineRule="exact"/>
        <w:rPr>
          <w:rFonts w:ascii="Times New Roman" w:cs="Times New Roman" w:eastAsia="Times New Roman" w:hAnsi="Times New Roman"/>
          <w:sz w:val="18"/>
          <w:szCs w:val="18"/>
          <w:color w:val="auto"/>
        </w:rPr>
      </w:pPr>
    </w:p>
    <w:p>
      <w:pPr>
        <w:jc w:val="both"/>
        <w:ind w:firstLine="1965"/>
        <w:spacing w:after="0" w:line="255" w:lineRule="auto"/>
        <w:tabs>
          <w:tab w:leader="none" w:pos="26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giving effect to this Agreement and the transaction contemplated hereby, the representations and warranties set forth in the Notes Purchase Agreement and each other Notes Document made by the Issuer and each other Obligor party thereto (x) that are qualified by materiality, Material Adverse Effect or similar qualification are, in each case, true and correct in all respects, except to the extent such representations and warranties specifically refer to an earlier date, in which case they shall be true and correct as of such earlier date; and (y) that are not qualified by materiality, Material Adverse Effect or similar qualification are, in each case, true and correct in all material respects, except, in each case, to the extent such representations and warranties were made as of an earlier date, in which case they shall be true and correct in all material respects as of such earlier date.</w:t>
      </w:r>
    </w:p>
    <w:p>
      <w:pPr>
        <w:spacing w:after="0" w:line="18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Implied Amendment or Waiver; Notes Documents, etc</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965"/>
        <w:spacing w:after="0" w:line="261" w:lineRule="auto"/>
        <w:tabs>
          <w:tab w:leader="none" w:pos="260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Agreement, this Agreement shall not, by implication or otherwise, limit, impair, constitute a waiver of or otherwise affect any rights or remedies of any Secured Party under the Notes Purchase Agreement or any other Notes Document, or alter, modify, amend or in any way affect any of the terms, obligations or covenants contained in the Notes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8"/>
          <w:szCs w:val="18"/>
          <w:color w:val="auto"/>
        </w:rPr>
        <w:t>Agreement or any other Notes Document, all of which shall continue in full force and effect. Nothing in this Agreement shall be construed to imply any willingness on the part of any Secured Party to agree to or grant any similar or future amendment, consent or waiver of any of the terms and conditions of the Notes Purchase Agreement or any other Notes Document.</w:t>
      </w:r>
    </w:p>
    <w:p>
      <w:pPr>
        <w:spacing w:after="0" w:line="176" w:lineRule="exact"/>
        <w:rPr>
          <w:sz w:val="20"/>
          <w:szCs w:val="20"/>
          <w:color w:val="auto"/>
        </w:rPr>
      </w:pPr>
    </w:p>
    <w:p>
      <w:pPr>
        <w:jc w:val="both"/>
        <w:ind w:firstLine="1965"/>
        <w:spacing w:after="0" w:line="258" w:lineRule="auto"/>
        <w:tabs>
          <w:tab w:leader="none" w:pos="26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together with the Notes Purchase Agreement and the other Notes Documents, constitutes the entire agreement among the parties with respect to the subject matter hereof and supersedes any and all previous agreements and understandings, oral or written, relating to the subject matter hereof. This Agreement shall constitute a Notes Document executed pursuant to the Notes Purchase Agreement and shall (unless otherwise expressly indicated therein) be construed, administered and applied in accordance with all the terms and provisions of the Notes Purchase Agreement.</w:t>
      </w:r>
    </w:p>
    <w:p>
      <w:pPr>
        <w:spacing w:after="0" w:line="183" w:lineRule="exact"/>
        <w:rPr>
          <w:rFonts w:ascii="Times New Roman" w:cs="Times New Roman" w:eastAsia="Times New Roman" w:hAnsi="Times New Roman"/>
          <w:sz w:val="18"/>
          <w:szCs w:val="18"/>
          <w:color w:val="auto"/>
        </w:rPr>
      </w:pPr>
    </w:p>
    <w:p>
      <w:pPr>
        <w:ind w:firstLine="1965"/>
        <w:spacing w:after="0" w:line="282" w:lineRule="auto"/>
        <w:tabs>
          <w:tab w:leader="none" w:pos="26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and waiver of jury trial provisions set forth in Sections 14.10 and 14.11 of the Notes Purchase Agreement, respectively, are incorporated herein by reference mutatis mutandis.</w:t>
      </w:r>
    </w:p>
    <w:p>
      <w:pPr>
        <w:spacing w:after="0" w:line="15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taken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Any signature (including, without limitation, (i) any electronic symbol or process attached to, or associated with, a contract or other record and adopted by a Person with the intent to sign, authenticate or accept such contract or record and (ii) any facsimile or .pdf signature) hereto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w:t>
      </w:r>
    </w:p>
    <w:p>
      <w:pPr>
        <w:spacing w:after="0" w:line="18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rights and obligations of the parties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governed by, and construed in accordance with, the law of the State of New York, without regard to principles of conflicts of laws that would result in the application of the laws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Section 5-1401 of the New York General Obligations Law shall apply. This Agreement shall be binding upon and shall inure to the benefit of the parties hereto, their respective successors and permitted assigns.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4" w:name="page115"/>
    <w:bookmarkEnd w:id="114"/>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day and year first above written.</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MEIRAGTX HOLDINGS PLC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Richard Giroux</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MEIRAGTX UK II LIMITED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Name:Richard Giroux</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MEIRAGTX IRELAND DAC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Name:Richard Giroux</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15" w:name="page116"/>
    <w:bookmarkEnd w:id="115"/>
    <w:p>
      <w:pPr>
        <w:ind w:left="4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PERCEPTIVE CREDIT HOLDINGS III, LP, </w:t>
      </w:r>
      <w:r>
        <w:rPr>
          <w:rFonts w:ascii="Times New Roman" w:cs="Times New Roman" w:eastAsia="Times New Roman" w:hAnsi="Times New Roman"/>
          <w:sz w:val="18"/>
          <w:szCs w:val="18"/>
          <w:color w:val="auto"/>
        </w:rPr>
        <w:t>as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Noteholder</w:t>
      </w:r>
    </w:p>
    <w:p>
      <w:pPr>
        <w:spacing w:after="0" w:line="155" w:lineRule="exact"/>
        <w:rPr>
          <w:sz w:val="20"/>
          <w:szCs w:val="20"/>
          <w:color w:val="auto"/>
        </w:rPr>
      </w:pPr>
    </w:p>
    <w:p>
      <w:pPr>
        <w:ind w:left="4480" w:right="100" w:hanging="296"/>
        <w:spacing w:after="0" w:line="286" w:lineRule="auto"/>
        <w:rPr>
          <w:sz w:val="20"/>
          <w:szCs w:val="20"/>
          <w:color w:val="auto"/>
        </w:rPr>
      </w:pPr>
      <w:r>
        <w:rPr>
          <w:rFonts w:ascii="Times New Roman" w:cs="Times New Roman" w:eastAsia="Times New Roman" w:hAnsi="Times New Roman"/>
          <w:sz w:val="18"/>
          <w:szCs w:val="18"/>
          <w:color w:val="auto"/>
        </w:rPr>
        <w:t>By: PERCEPTIVE CREDIT OPPORTUNITIES GP,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its general partner</w:t>
      </w:r>
    </w:p>
    <w:p>
      <w:pPr>
        <w:spacing w:after="0" w:line="1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1546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Name:Sandeep Dixit</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Chief Credit Officer</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1546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Name:Sam Chawla</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i w:val="1"/>
          <w:iCs w:val="1"/>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00"/>
          </w:cols>
          <w:pgMar w:left="1440" w:top="1089" w:right="115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Alexandria Forbes, certify that:</w:t>
      </w:r>
    </w:p>
    <w:p>
      <w:pPr>
        <w:spacing w:after="0" w:line="117"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MeiraGTx Holdings plc;</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100" w:hanging="405"/>
        <w:spacing w:after="0" w:line="266"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420" w:hanging="405"/>
        <w:spacing w:after="0" w:line="289" w:lineRule="auto"/>
        <w:tabs>
          <w:tab w:leader="none" w:pos="101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980" w:right="280" w:hanging="405"/>
        <w:spacing w:after="0" w:line="266"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80" w:right="100" w:hanging="405"/>
        <w:spacing w:after="0" w:line="289" w:lineRule="auto"/>
        <w:tabs>
          <w:tab w:leader="none" w:pos="101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40" w:right="80" w:hanging="432"/>
        <w:spacing w:after="0" w:line="266"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80" w:right="200" w:hanging="405"/>
        <w:spacing w:after="0" w:line="266" w:lineRule="auto"/>
        <w:tabs>
          <w:tab w:leader="none" w:pos="9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560" w:hanging="405"/>
        <w:spacing w:after="0" w:line="282" w:lineRule="auto"/>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5" w:lineRule="exact"/>
        <w:rPr>
          <w:sz w:val="20"/>
          <w:szCs w:val="20"/>
          <w:color w:val="auto"/>
        </w:rPr>
      </w:pPr>
    </w:p>
    <w:p>
      <w:pPr>
        <w:ind w:left="506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Alexandria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Alexandria Forbes</w:t>
      </w:r>
    </w:p>
    <w:p>
      <w:pPr>
        <w:spacing w:after="0" w:line="2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Giroux, certify that:</w:t>
      </w:r>
    </w:p>
    <w:p>
      <w:pPr>
        <w:spacing w:after="0" w:line="117"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MeiraGTx Holdings plc;</w:t>
      </w:r>
    </w:p>
    <w:p>
      <w:pPr>
        <w:spacing w:after="0" w:line="11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420" w:right="60" w:hanging="642"/>
        <w:spacing w:after="0" w:line="261"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420" w:right="100" w:hanging="642"/>
        <w:spacing w:after="0" w:line="261"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420" w:right="140" w:hanging="642"/>
        <w:spacing w:after="0" w:line="266"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420" w:hanging="642"/>
        <w:spacing w:after="0" w:line="261"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20" w:right="320" w:hanging="642"/>
        <w:spacing w:after="0" w:line="266"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140" w:hanging="642"/>
        <w:spacing w:after="0" w:line="282"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25" w:lineRule="exact"/>
        <w:rPr>
          <w:sz w:val="20"/>
          <w:szCs w:val="20"/>
          <w:color w:val="auto"/>
        </w:rPr>
      </w:pPr>
    </w:p>
    <w:p>
      <w:pPr>
        <w:ind w:left="506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Richard Giroux</w:t>
      </w:r>
    </w:p>
    <w:p>
      <w:pPr>
        <w:spacing w:after="0" w:line="2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 Officer</w:t>
      </w:r>
    </w:p>
    <w:p>
      <w:pPr>
        <w:spacing w:after="0" w:line="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MeiraGTx Holdings plc (the “Company”) on Form 10-Q for the quarterly period ended March 31, 2026 as filed with the Securities and Exchange Commission on the date hereof (the “Report”), I certify, pursuant to 18 U.S.C.</w:t>
      </w:r>
    </w:p>
    <w:p>
      <w:pPr>
        <w:ind w:left="140" w:hanging="132"/>
        <w:spacing w:after="0"/>
        <w:tabs>
          <w:tab w:leader="none" w:pos="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98" w:lineRule="exact"/>
        <w:rPr>
          <w:rFonts w:ascii="Times New Roman" w:cs="Times New Roman" w:eastAsia="Times New Roman" w:hAnsi="Times New Roman"/>
          <w:sz w:val="18"/>
          <w:szCs w:val="18"/>
          <w:color w:val="auto"/>
        </w:rPr>
      </w:pPr>
    </w:p>
    <w:p>
      <w:pPr>
        <w:ind w:left="980" w:hanging="422"/>
        <w:spacing w:after="0"/>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20" w:hanging="442"/>
        <w:spacing w:after="0" w:line="282" w:lineRule="auto"/>
        <w:tabs>
          <w:tab w:leader="none" w:pos="99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40" w:val="left"/>
          <w:tab w:leader="none" w:pos="686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Alexandria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Alexandria Forbes</w:t>
      </w:r>
    </w:p>
    <w:p>
      <w:pPr>
        <w:spacing w:after="0" w:line="2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MeiraGTx Holdings plc (the “Company”) on Form 10-Q for the quarterly period ended March 31, 2026 as filed with the Securities and Exchange Commission on the date hereof (the “Report”), I certify, pursuant to 18 U.S.C.</w:t>
      </w:r>
    </w:p>
    <w:p>
      <w:pPr>
        <w:ind w:left="140" w:hanging="132"/>
        <w:spacing w:after="0"/>
        <w:tabs>
          <w:tab w:leader="none" w:pos="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98" w:lineRule="exact"/>
        <w:rPr>
          <w:rFonts w:ascii="Times New Roman" w:cs="Times New Roman" w:eastAsia="Times New Roman" w:hAnsi="Times New Roman"/>
          <w:sz w:val="18"/>
          <w:szCs w:val="18"/>
          <w:color w:val="auto"/>
        </w:rPr>
      </w:pPr>
    </w:p>
    <w:p>
      <w:pPr>
        <w:ind w:left="980" w:hanging="422"/>
        <w:spacing w:after="0"/>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20" w:hanging="442"/>
        <w:spacing w:after="0" w:line="282" w:lineRule="auto"/>
        <w:tabs>
          <w:tab w:leader="none" w:pos="9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40" w:val="left"/>
          <w:tab w:leader="none" w:pos="696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Giroux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Richard Giroux</w:t>
      </w:r>
    </w:p>
    <w:p>
      <w:pPr>
        <w:spacing w:after="0" w:line="2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 Officer</w:t>
      </w:r>
    </w:p>
    <w:p>
      <w:pPr>
        <w:spacing w:after="0" w:line="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2"/>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lowerRoman"/>
      <w:start w:val="1"/>
    </w:lvl>
  </w:abstractNum>
  <w:abstractNum w:abstractNumId="8">
    <w:nsid w:val="3855585C"/>
    <w:multiLevelType w:val="hybridMultilevel"/>
    <w:lvl w:ilvl="0">
      <w:lvlJc w:val="left"/>
      <w:lvlText w:val="1"/>
      <w:numFmt w:val="bullet"/>
      <w:start w:val="1"/>
    </w:lvl>
  </w:abstractNum>
  <w:abstractNum w:abstractNumId="9">
    <w:nsid w:val="70A64E2A"/>
    <w:multiLevelType w:val="hybridMultilevel"/>
    <w:lvl w:ilvl="0">
      <w:lvlJc w:val="left"/>
      <w:lvlText w:val="2"/>
      <w:numFmt w:val="bullet"/>
      <w:start w:val="1"/>
    </w:lvl>
  </w:abstractNum>
  <w:abstractNum w:abstractNumId="10">
    <w:nsid w:val="6A2342EC"/>
    <w:multiLevelType w:val="hybridMultilevel"/>
    <w:lvl w:ilvl="0">
      <w:lvlJc w:val="left"/>
      <w:lvlText w:val="%1."/>
      <w:numFmt w:val="decimal"/>
      <w:start w:val="3"/>
    </w:lvl>
  </w:abstractNum>
  <w:abstractNum w:abstractNumId="11">
    <w:nsid w:val="2A487CB0"/>
    <w:multiLevelType w:val="hybridMultilevel"/>
    <w:lvl w:ilvl="0">
      <w:lvlJc w:val="left"/>
      <w:lvlText w:val="%1."/>
      <w:numFmt w:val="decimal"/>
      <w:start w:val="4"/>
    </w:lvl>
  </w:abstractNum>
  <w:abstractNum w:abstractNumId="12">
    <w:nsid w:val="1D4ED43B"/>
    <w:multiLevelType w:val="hybridMultilevel"/>
    <w:lvl w:ilvl="0">
      <w:lvlJc w:val="left"/>
      <w:lvlText w:val="%1."/>
      <w:numFmt w:val="decimal"/>
      <w:start w:val="6"/>
    </w:lvl>
  </w:abstractNum>
  <w:abstractNum w:abstractNumId="13">
    <w:nsid w:val="725A06FB"/>
    <w:multiLevelType w:val="hybridMultilevel"/>
    <w:lvl w:ilvl="0">
      <w:lvlJc w:val="left"/>
      <w:lvlText w:val="%1."/>
      <w:numFmt w:val="decimal"/>
      <w:start w:val="7"/>
    </w:lvl>
  </w:abstractNum>
  <w:abstractNum w:abstractNumId="14">
    <w:nsid w:val="2CD89A32"/>
    <w:multiLevelType w:val="hybridMultilevel"/>
    <w:lvl w:ilvl="0">
      <w:lvlJc w:val="left"/>
      <w:lvlText w:val="%1."/>
      <w:numFmt w:val="decimal"/>
      <w:start w:val="9"/>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decimal"/>
      <w:start w:val="10"/>
    </w:lvl>
  </w:abstractNum>
  <w:abstractNum w:abstractNumId="18">
    <w:nsid w:val="542289EC"/>
    <w:multiLevelType w:val="hybridMultilevel"/>
    <w:lvl w:ilvl="0">
      <w:lvlJc w:val="left"/>
      <w:lvlText w:val="%1."/>
      <w:numFmt w:val="decimal"/>
      <w:start w:val="11"/>
    </w:lvl>
  </w:abstractNum>
  <w:abstractNum w:abstractNumId="19">
    <w:nsid w:val="6DE91B18"/>
    <w:multiLevelType w:val="hybridMultilevel"/>
    <w:lvl w:ilvl="0">
      <w:lvlJc w:val="left"/>
      <w:lvlText w:val="(%1)"/>
      <w:numFmt w:val="lowerRoman"/>
      <w:start w:val="3"/>
    </w:lvl>
  </w:abstractNum>
  <w:abstractNum w:abstractNumId="20">
    <w:nsid w:val="38437FDB"/>
    <w:multiLevelType w:val="hybridMultilevel"/>
    <w:lvl w:ilvl="0">
      <w:lvlJc w:val="left"/>
      <w:lvlText w:val="%1."/>
      <w:numFmt w:val="decimal"/>
      <w:start w:val="12"/>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lowerRoman"/>
      <w:start w:val="2"/>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lowerRoman"/>
      <w:start w:val="3"/>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lvl w:ilvl="1">
      <w:lvlJc w:val="left"/>
      <w:lvlText w:val="●"/>
      <w:numFmt w:val="bullet"/>
      <w:start w:val="1"/>
    </w:lvl>
  </w:abstractNum>
  <w:abstractNum w:abstractNumId="48">
    <w:nsid w:val="3F6AB60F"/>
    <w:multiLevelType w:val="hybridMultilevel"/>
    <w:lvl w:ilvl="0">
      <w:lvlJc w:val="left"/>
      <w:lvlText w:val="●"/>
      <w:numFmt w:val="bullet"/>
      <w:start w:val="1"/>
    </w:lvl>
    <w:lvl w:ilvl="1">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lvl w:ilvl="1">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decimal"/>
      <w:start w:val="104"/>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3"/>
    </w:lvl>
    <w:lvl w:ilvl="1">
      <w:lvlJc w:val="left"/>
      <w:lvlText w:val="(%2)"/>
      <w:numFmt w:val="lowerLetter"/>
      <w:start w:val="1"/>
    </w:lvl>
  </w:abstractNum>
  <w:abstractNum w:abstractNumId="65">
    <w:nsid w:val="5F5E7FD0"/>
    <w:multiLevelType w:val="hybridMultilevel"/>
    <w:lvl w:ilvl="0">
      <w:lvlJc w:val="left"/>
      <w:lvlText w:val="%1."/>
      <w:numFmt w:val="decimal"/>
      <w:start w:val="4"/>
    </w:lvl>
  </w:abstractNum>
  <w:abstractNum w:abstractNumId="66">
    <w:nsid w:val="98A3148"/>
    <w:multiLevelType w:val="hybridMultilevel"/>
    <w:lvl w:ilvl="0">
      <w:lvlJc w:val="left"/>
      <w:lvlText w:val="%1"/>
      <w:numFmt w:val="decimal"/>
      <w:start w:val="1"/>
    </w:lvl>
    <w:lvl w:ilvl="1">
      <w:lvlJc w:val="left"/>
      <w:lvlText w:val="(%2)"/>
      <w:numFmt w:val="lowerLetter"/>
      <w:start w:val="1"/>
    </w:lvl>
  </w:abstractNum>
  <w:abstractNum w:abstractNumId="67">
    <w:nsid w:val="799D0247"/>
    <w:multiLevelType w:val="hybridMultilevel"/>
    <w:lvl w:ilvl="0">
      <w:lvlJc w:val="left"/>
      <w:lvlText w:val="%1."/>
      <w:numFmt w:val="decimal"/>
      <w:start w:val="5"/>
    </w:lvl>
    <w:lvl w:ilvl="1">
      <w:lvlJc w:val="left"/>
      <w:lvlText w:val="(%2)"/>
      <w:numFmt w:val="lowerLetter"/>
      <w:start w:val="1"/>
    </w:lvl>
  </w:abstractNum>
  <w:abstractNum w:abstractNumId="68">
    <w:nsid w:val="6B94764"/>
    <w:multiLevelType w:val="hybridMultilevel"/>
    <w:lvl w:ilvl="0">
      <w:lvlJc w:val="left"/>
      <w:lvlText w:val="%1"/>
      <w:numFmt w:val="decimal"/>
      <w:start w:val="1"/>
    </w:lvl>
    <w:lvl w:ilvl="1">
      <w:lvlJc w:val="left"/>
      <w:lvlText w:val="(%2)"/>
      <w:numFmt w:val="lowerLetter"/>
      <w:start w:val="2"/>
    </w:lvl>
  </w:abstractNum>
  <w:abstractNum w:abstractNumId="69">
    <w:nsid w:val="42C296BD"/>
    <w:multiLevelType w:val="hybridMultilevel"/>
    <w:lvl w:ilvl="0">
      <w:lvlJc w:val="left"/>
      <w:lvlText w:val="%1."/>
      <w:numFmt w:val="decimal"/>
      <w:start w:val="6"/>
    </w:lvl>
    <w:lvl w:ilvl="1">
      <w:lvlJc w:val="left"/>
      <w:lvlText w:val="%2"/>
      <w:numFmt w:val="lowerLetter"/>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
      <w:numFmt w:val="bullet"/>
      <w:start w:val="1"/>
    </w:lvl>
    <w:lvl w:ilvl="1">
      <w:lvlJc w:val="left"/>
      <w:lvlText w:val="(%2)"/>
      <w:numFmt w:val="decimal"/>
      <w:start w:val="1"/>
    </w:lvl>
  </w:abstractNum>
  <w:abstractNum w:abstractNumId="73">
    <w:nsid w:val="5DC79EA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33" Type="http://schemas.openxmlformats.org/officeDocument/2006/relationships/hyperlink" Target="https://www.sec.gov/Archives/edgar/data/1735438/000110465926036494/mgtx-20251231xex10d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2026-05-14T07:34:43Z</dcterms:created>
  <dcterms:modified xsi:type="dcterms:W3CDTF">2026-05-14T07:34:43Z</dcterms:modified>
</cp:coreProperties>
</file>