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Fleck Penny Renee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MeiraGTx Holdings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MGTX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655 THIRD AVENUE, SUITE 1115</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2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3"/>
        <w:spacing w:after="0"/>
        <w:rPr>
          <w:sz w:val="20"/>
          <w:szCs w:val="20"/>
          <w:color w:val="auto"/>
        </w:rPr>
      </w:pPr>
      <w:r>
        <w:rPr>
          <w:rFonts w:ascii="Times New Roman" w:cs="Times New Roman" w:eastAsia="Times New Roman" w:hAnsi="Times New Roman"/>
          <w:sz w:val="18"/>
          <w:szCs w:val="18"/>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23" w:space="24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Penny Renee Fleck</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05/14/2026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25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With respect to holdings of and transactions in securities issued by MeiraGTx Holdings plc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xml:space="preserve">”), the undersigned hereby constitutes and appoints the individuals named on </w:t>
      </w:r>
      <w:r>
        <w:rPr>
          <w:rFonts w:ascii="Times New Roman" w:cs="Times New Roman" w:eastAsia="Times New Roman" w:hAnsi="Times New Roman"/>
          <w:sz w:val="24"/>
          <w:szCs w:val="24"/>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24" w:lineRule="exact"/>
        <w:rPr>
          <w:sz w:val="20"/>
          <w:szCs w:val="20"/>
          <w:color w:val="auto"/>
        </w:rPr>
      </w:pPr>
    </w:p>
    <w:p>
      <w:pPr>
        <w:ind w:left="1440" w:hanging="670"/>
        <w:spacing w:after="0" w:line="266"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Forms 3, 4, and 5 in accordance with Section 16 of the Securities Exchange Act of 1934, as amended, and the rules thereunder;</w:t>
      </w:r>
    </w:p>
    <w:p>
      <w:pPr>
        <w:spacing w:after="0" w:line="198" w:lineRule="exact"/>
        <w:rPr>
          <w:rFonts w:ascii="Times New Roman" w:cs="Times New Roman" w:eastAsia="Times New Roman" w:hAnsi="Times New Roman"/>
          <w:sz w:val="24"/>
          <w:szCs w:val="24"/>
          <w:color w:val="auto"/>
        </w:rPr>
      </w:pPr>
    </w:p>
    <w:p>
      <w:pPr>
        <w:jc w:val="both"/>
        <w:ind w:left="1440" w:hanging="610"/>
        <w:spacing w:after="0" w:line="245" w:lineRule="auto"/>
        <w:tabs>
          <w:tab w:leader="none" w:pos="1410" w:val="left"/>
        </w:tabs>
        <w:numPr>
          <w:ilvl w:val="1"/>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4" w:lineRule="exact"/>
        <w:rPr>
          <w:sz w:val="20"/>
          <w:szCs w:val="20"/>
          <w:color w:val="auto"/>
        </w:rPr>
      </w:pPr>
    </w:p>
    <w:p>
      <w:pPr>
        <w:jc w:val="both"/>
        <w:ind w:left="1440" w:hanging="670"/>
        <w:spacing w:after="0" w:line="241" w:lineRule="auto"/>
        <w:tabs>
          <w:tab w:leader="none" w:pos="141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8"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8"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3"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14</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May, 2026.</w:t>
      </w:r>
    </w:p>
    <w:p>
      <w:pPr>
        <w:spacing w:after="0" w:line="200" w:lineRule="exact"/>
        <w:rPr>
          <w:sz w:val="20"/>
          <w:szCs w:val="20"/>
          <w:color w:val="auto"/>
        </w:rPr>
      </w:pPr>
    </w:p>
    <w:p>
      <w:pPr>
        <w:spacing w:after="0" w:line="299" w:lineRule="exact"/>
        <w:rPr>
          <w:sz w:val="20"/>
          <w:szCs w:val="20"/>
          <w:color w:val="auto"/>
        </w:rPr>
      </w:pPr>
    </w:p>
    <w:p>
      <w:pPr>
        <w:ind w:left="4320"/>
        <w:spacing w:after="0"/>
        <w:tabs>
          <w:tab w:leader="none" w:pos="5820" w:val="left"/>
        </w:tabs>
        <w:rPr>
          <w:sz w:val="20"/>
          <w:szCs w:val="20"/>
          <w:color w:val="auto"/>
        </w:rPr>
      </w:pPr>
      <w:r>
        <w:rPr>
          <w:rFonts w:ascii="Times New Roman" w:cs="Times New Roman" w:eastAsia="Times New Roman" w:hAnsi="Times New Roman"/>
          <w:sz w:val="24"/>
          <w:szCs w:val="24"/>
          <w:color w:val="auto"/>
        </w:rPr>
        <w:t>Signature:</w:t>
      </w:r>
      <w:r>
        <w:rPr>
          <w:sz w:val="20"/>
          <w:szCs w:val="20"/>
          <w:color w:val="auto"/>
        </w:rPr>
        <w:tab/>
      </w:r>
      <w:r>
        <w:rPr>
          <w:rFonts w:ascii="Times New Roman" w:cs="Times New Roman" w:eastAsia="Times New Roman" w:hAnsi="Times New Roman"/>
          <w:sz w:val="24"/>
          <w:szCs w:val="24"/>
          <w:u w:val="single" w:color="auto"/>
          <w:color w:val="auto"/>
        </w:rPr>
        <w:t>/s/ Penny</w:t>
      </w:r>
    </w:p>
    <w:p>
      <w:pPr>
        <w:spacing w:after="0" w:line="226" w:lineRule="auto"/>
        <w:rPr>
          <w:sz w:val="20"/>
          <w:szCs w:val="20"/>
          <w:color w:val="auto"/>
        </w:rPr>
      </w:pPr>
      <w:r>
        <w:rPr>
          <w:rFonts w:ascii="Times New Roman" w:cs="Times New Roman" w:eastAsia="Times New Roman" w:hAnsi="Times New Roman"/>
          <w:sz w:val="24"/>
          <w:szCs w:val="24"/>
          <w:u w:val="single" w:color="auto"/>
          <w:color w:val="auto"/>
        </w:rPr>
        <w:t>Renee Fleck</w:t>
      </w:r>
    </w:p>
    <w:p>
      <w:pPr>
        <w:ind w:left="4320"/>
        <w:spacing w:after="0"/>
        <w:tabs>
          <w:tab w:leader="none" w:pos="5820" w:val="left"/>
        </w:tabs>
        <w:rPr>
          <w:sz w:val="20"/>
          <w:szCs w:val="20"/>
          <w:color w:val="auto"/>
        </w:rPr>
      </w:pPr>
      <w:r>
        <w:rPr>
          <w:rFonts w:ascii="Times New Roman" w:cs="Times New Roman" w:eastAsia="Times New Roman" w:hAnsi="Times New Roman"/>
          <w:sz w:val="24"/>
          <w:szCs w:val="24"/>
          <w:color w:val="auto"/>
        </w:rPr>
        <w:t>Print Name:</w:t>
        <w:tab/>
        <w:t>Penny Renee Fleck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932815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381" w:right="479" w:bottom="1440" w:gutter="0" w:footer="0" w:header="0"/>
        </w:sectPr>
      </w:pPr>
    </w:p>
    <w:bookmarkStart w:id="2" w:name="page3"/>
    <w:bookmarkEnd w:id="2"/>
    <w:p>
      <w:pPr>
        <w:jc w:val="center"/>
        <w:ind w:right="-959"/>
        <w:spacing w:after="0"/>
        <w:rPr>
          <w:sz w:val="20"/>
          <w:szCs w:val="20"/>
          <w:color w:val="auto"/>
        </w:rPr>
      </w:pPr>
      <w:r>
        <w:rPr>
          <w:rFonts w:ascii="Times New Roman" w:cs="Times New Roman" w:eastAsia="Times New Roman" w:hAnsi="Times New Roman"/>
          <w:sz w:val="24"/>
          <w:szCs w:val="24"/>
          <w:b w:val="1"/>
          <w:bCs w:val="1"/>
          <w:u w:val="single" w:color="auto"/>
          <w:color w:val="auto"/>
        </w:rPr>
        <w:t>Schedule A</w:t>
      </w:r>
    </w:p>
    <w:p>
      <w:pPr>
        <w:spacing w:after="0" w:line="2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3"/>
          <w:szCs w:val="23"/>
          <w:color w:val="auto"/>
        </w:rPr>
        <w:t>Individuals Appointed as Attorney-in-Fact with Full Power of Substitution and Resubstitution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Richard Giroux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Alexandria Forbes, Ph.D.</w:t>
      </w:r>
    </w:p>
    <w:p>
      <w:pPr>
        <w:spacing w:after="0"/>
        <w:rPr>
          <w:sz w:val="20"/>
          <w:szCs w:val="20"/>
          <w:color w:val="auto"/>
        </w:rPr>
      </w:pPr>
      <w:r>
        <w:rPr>
          <w:rFonts w:ascii="Times New Roman" w:cs="Times New Roman" w:eastAsia="Times New Roman" w:hAnsi="Times New Roman"/>
          <w:sz w:val="24"/>
          <w:szCs w:val="24"/>
          <w:color w:val="auto"/>
        </w:rPr>
        <w:t>Robert J. Wollin</w:t>
      </w:r>
    </w:p>
    <w:sectPr>
      <w:pgSz w:w="11900" w:h="16838" w:orient="portrait"/>
      <w:cols w:equalWidth="0" w:num="1">
        <w:col w:w="9980"/>
      </w:cols>
      <w:pgMar w:left="480" w:top="104"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3828" TargetMode="External"/><Relationship Id="rId11" Type="http://schemas.openxmlformats.org/officeDocument/2006/relationships/hyperlink" Target="http://www.sec.gov/cgi-bin/browse-edgar?action=getcompany&amp;CIK=00017354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2026-05-14T20:02:12Z</dcterms:created>
  <dcterms:modified xsi:type="dcterms:W3CDTF">2026-05-14T20:02:12Z</dcterms:modified>
</cp:coreProperties>
</file>