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72026_090701.xml.htm"/>
      <w:bookmarkStart w:id="1" w:name="ksform407072026_09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Naylor Stuart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 THIRD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MeiraGTx Holdings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 OFCR, OPHTHALMOLOGY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928"/>
        <w:gridCol w:w="452"/>
        <w:gridCol w:w="795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665,958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25,112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640,846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reflects the weighted average sales price. The shares were sold in multiple transactions at prices ranging from $13.36 to $14.31,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undertakes to provide to the SEC staff, the issuer, or a security holder of the issuer, upon request,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reflects the weighted average sales price. The shares were sold in multiple transactions at prices ranging from $14.47 to $15.33, inclusive.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Giroux, Attorney-in-fact for Stuart Naylor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771" TargetMode="External"/><Relationship Id="rId5" Type="http://schemas.openxmlformats.org/officeDocument/2006/relationships/hyperlink" Target="http://www.sec.gov/cgi-bin/browse-edgar?action=getcompany&amp;CIK=0001735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3703</Characters>
  <CharactersWithSpaces>4319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